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shd w:val="clear" w:color="auto" w:fill="FFFFFF"/>
        <w:tblCellMar>
          <w:left w:w="0" w:type="dxa"/>
          <w:right w:w="0" w:type="dxa"/>
        </w:tblCellMar>
        <w:tblLook w:val="04A0"/>
      </w:tblPr>
      <w:tblGrid>
        <w:gridCol w:w="3185"/>
        <w:gridCol w:w="6704"/>
      </w:tblGrid>
      <w:tr w:rsidR="00FA7F04" w:rsidRPr="00FA7F04" w:rsidTr="00FA7F04">
        <w:trPr>
          <w:tblCellSpacing w:w="0" w:type="dxa"/>
        </w:trPr>
        <w:tc>
          <w:tcPr>
            <w:tcW w:w="3185" w:type="dxa"/>
            <w:shd w:val="clear" w:color="auto" w:fill="FFFFFF"/>
            <w:tcMar>
              <w:top w:w="0" w:type="dxa"/>
              <w:left w:w="108" w:type="dxa"/>
              <w:bottom w:w="0" w:type="dxa"/>
              <w:right w:w="108" w:type="dxa"/>
            </w:tcMar>
            <w:hideMark/>
          </w:tcPr>
          <w:p w:rsidR="00FA7F04" w:rsidRPr="00FA7F04" w:rsidRDefault="00FA7F04" w:rsidP="00FA7F04">
            <w:pPr>
              <w:spacing w:before="120" w:after="0" w:line="234" w:lineRule="atLeast"/>
              <w:jc w:val="center"/>
              <w:rPr>
                <w:rFonts w:ascii="Arial" w:eastAsia="Times New Roman" w:hAnsi="Arial" w:cs="Arial"/>
                <w:color w:val="000000"/>
                <w:sz w:val="18"/>
                <w:szCs w:val="18"/>
              </w:rPr>
            </w:pPr>
            <w:r w:rsidRPr="00FA7F04">
              <w:rPr>
                <w:rFonts w:ascii="Arial" w:eastAsia="Times New Roman" w:hAnsi="Arial" w:cs="Arial"/>
                <w:b/>
                <w:bCs/>
                <w:color w:val="000000"/>
                <w:sz w:val="18"/>
                <w:szCs w:val="18"/>
              </w:rPr>
              <w:t>CHÍNH PHỦ</w:t>
            </w:r>
            <w:r w:rsidRPr="00FA7F04">
              <w:rPr>
                <w:rFonts w:ascii="Arial" w:eastAsia="Times New Roman" w:hAnsi="Arial" w:cs="Arial"/>
                <w:b/>
                <w:bCs/>
                <w:color w:val="000000"/>
                <w:sz w:val="18"/>
                <w:szCs w:val="18"/>
              </w:rPr>
              <w:br/>
              <w:t>-------</w:t>
            </w:r>
          </w:p>
        </w:tc>
        <w:tc>
          <w:tcPr>
            <w:tcW w:w="6704" w:type="dxa"/>
            <w:shd w:val="clear" w:color="auto" w:fill="FFFFFF"/>
            <w:tcMar>
              <w:top w:w="0" w:type="dxa"/>
              <w:left w:w="108" w:type="dxa"/>
              <w:bottom w:w="0" w:type="dxa"/>
              <w:right w:w="108" w:type="dxa"/>
            </w:tcMar>
            <w:hideMark/>
          </w:tcPr>
          <w:p w:rsidR="00FA7F04" w:rsidRPr="00FA7F04" w:rsidRDefault="00FA7F04" w:rsidP="00FA7F04">
            <w:pPr>
              <w:spacing w:before="120" w:after="0" w:line="234" w:lineRule="atLeast"/>
              <w:jc w:val="center"/>
              <w:rPr>
                <w:rFonts w:ascii="Arial" w:eastAsia="Times New Roman" w:hAnsi="Arial" w:cs="Arial"/>
                <w:color w:val="000000"/>
                <w:sz w:val="18"/>
                <w:szCs w:val="18"/>
              </w:rPr>
            </w:pPr>
            <w:r w:rsidRPr="00FA7F04">
              <w:rPr>
                <w:rFonts w:ascii="Arial" w:eastAsia="Times New Roman" w:hAnsi="Arial" w:cs="Arial"/>
                <w:b/>
                <w:bCs/>
                <w:color w:val="000000"/>
                <w:sz w:val="18"/>
                <w:szCs w:val="18"/>
              </w:rPr>
              <w:t>CỘNG HÒA XÃ HỘI CHỦ NGHĨA VIỆT NAM</w:t>
            </w:r>
            <w:r w:rsidRPr="00FA7F04">
              <w:rPr>
                <w:rFonts w:ascii="Arial" w:eastAsia="Times New Roman" w:hAnsi="Arial" w:cs="Arial"/>
                <w:b/>
                <w:bCs/>
                <w:color w:val="000000"/>
                <w:sz w:val="18"/>
                <w:szCs w:val="18"/>
              </w:rPr>
              <w:br/>
              <w:t>Độc lập - Tự do - Hạnh phúc</w:t>
            </w:r>
            <w:r w:rsidRPr="00FA7F04">
              <w:rPr>
                <w:rFonts w:ascii="Arial" w:eastAsia="Times New Roman" w:hAnsi="Arial" w:cs="Arial"/>
                <w:b/>
                <w:bCs/>
                <w:color w:val="000000"/>
                <w:sz w:val="18"/>
                <w:szCs w:val="18"/>
              </w:rPr>
              <w:br/>
              <w:t>------------------</w:t>
            </w:r>
          </w:p>
        </w:tc>
      </w:tr>
      <w:tr w:rsidR="00FA7F04" w:rsidRPr="00FA7F04" w:rsidTr="00FA7F04">
        <w:trPr>
          <w:tblCellSpacing w:w="0" w:type="dxa"/>
        </w:trPr>
        <w:tc>
          <w:tcPr>
            <w:tcW w:w="3185" w:type="dxa"/>
            <w:shd w:val="clear" w:color="auto" w:fill="FFFFFF"/>
            <w:tcMar>
              <w:top w:w="0" w:type="dxa"/>
              <w:left w:w="108" w:type="dxa"/>
              <w:bottom w:w="0" w:type="dxa"/>
              <w:right w:w="108" w:type="dxa"/>
            </w:tcMar>
            <w:hideMark/>
          </w:tcPr>
          <w:p w:rsidR="00FA7F04" w:rsidRPr="00FA7F04" w:rsidRDefault="00FA7F04" w:rsidP="00FA7F04">
            <w:pPr>
              <w:spacing w:before="120" w:after="0" w:line="234" w:lineRule="atLeast"/>
              <w:jc w:val="center"/>
              <w:rPr>
                <w:rFonts w:ascii="Arial" w:eastAsia="Times New Roman" w:hAnsi="Arial" w:cs="Arial"/>
                <w:color w:val="000000"/>
                <w:sz w:val="18"/>
                <w:szCs w:val="18"/>
              </w:rPr>
            </w:pPr>
            <w:r w:rsidRPr="00FA7F04">
              <w:rPr>
                <w:rFonts w:ascii="Arial" w:eastAsia="Times New Roman" w:hAnsi="Arial" w:cs="Arial"/>
                <w:color w:val="000000"/>
                <w:sz w:val="18"/>
                <w:szCs w:val="18"/>
              </w:rPr>
              <w:t>Số: 16/2015/NĐ-CP</w:t>
            </w:r>
          </w:p>
        </w:tc>
        <w:tc>
          <w:tcPr>
            <w:tcW w:w="6704" w:type="dxa"/>
            <w:shd w:val="clear" w:color="auto" w:fill="FFFFFF"/>
            <w:tcMar>
              <w:top w:w="0" w:type="dxa"/>
              <w:left w:w="108" w:type="dxa"/>
              <w:bottom w:w="0" w:type="dxa"/>
              <w:right w:w="108" w:type="dxa"/>
            </w:tcMar>
            <w:hideMark/>
          </w:tcPr>
          <w:p w:rsidR="00FA7F04" w:rsidRPr="00FA7F04" w:rsidRDefault="00FA7F04" w:rsidP="00FA7F04">
            <w:pPr>
              <w:spacing w:before="120" w:after="0" w:line="234" w:lineRule="atLeast"/>
              <w:jc w:val="center"/>
              <w:rPr>
                <w:rFonts w:ascii="Arial" w:eastAsia="Times New Roman" w:hAnsi="Arial" w:cs="Arial"/>
                <w:color w:val="000000"/>
                <w:sz w:val="18"/>
                <w:szCs w:val="18"/>
              </w:rPr>
            </w:pPr>
            <w:r>
              <w:rPr>
                <w:rFonts w:ascii="Arial" w:eastAsia="Times New Roman" w:hAnsi="Arial" w:cs="Arial"/>
                <w:i/>
                <w:iCs/>
                <w:color w:val="000000"/>
                <w:sz w:val="18"/>
                <w:szCs w:val="18"/>
              </w:rPr>
              <w:t xml:space="preserve">                                         </w:t>
            </w:r>
            <w:r w:rsidRPr="00FA7F04">
              <w:rPr>
                <w:rFonts w:ascii="Arial" w:eastAsia="Times New Roman" w:hAnsi="Arial" w:cs="Arial"/>
                <w:i/>
                <w:iCs/>
                <w:color w:val="000000"/>
                <w:sz w:val="18"/>
                <w:szCs w:val="18"/>
              </w:rPr>
              <w:t>Hà Nội, ngày 14 tháng 02 năm 2015</w:t>
            </w:r>
          </w:p>
        </w:tc>
      </w:tr>
    </w:tbl>
    <w:p w:rsidR="00FA7F04" w:rsidRPr="00FA7F04" w:rsidRDefault="00FA7F04" w:rsidP="00FA7F04">
      <w:pPr>
        <w:shd w:val="clear" w:color="auto" w:fill="FFFFFF"/>
        <w:spacing w:before="120" w:after="0" w:line="234" w:lineRule="atLeast"/>
        <w:rPr>
          <w:rFonts w:ascii="Arial" w:eastAsia="Times New Roman" w:hAnsi="Arial" w:cs="Arial"/>
          <w:color w:val="000000"/>
          <w:sz w:val="18"/>
          <w:szCs w:val="18"/>
        </w:rPr>
      </w:pPr>
      <w:r w:rsidRPr="00FA7F04">
        <w:rPr>
          <w:rFonts w:ascii="Arial" w:eastAsia="Times New Roman" w:hAnsi="Arial" w:cs="Arial"/>
          <w:color w:val="000000"/>
          <w:sz w:val="18"/>
          <w:szCs w:val="18"/>
          <w:lang w:val="vi-VN"/>
        </w:rPr>
        <w:t> </w:t>
      </w:r>
    </w:p>
    <w:p w:rsidR="00FA7F04" w:rsidRPr="00FA7F04" w:rsidRDefault="00FA7F04" w:rsidP="00FA7F04">
      <w:pPr>
        <w:shd w:val="clear" w:color="auto" w:fill="FFFFFF"/>
        <w:spacing w:after="0" w:line="234" w:lineRule="atLeast"/>
        <w:jc w:val="center"/>
        <w:rPr>
          <w:rFonts w:ascii="Arial" w:eastAsia="Times New Roman" w:hAnsi="Arial" w:cs="Arial"/>
          <w:color w:val="000000"/>
          <w:sz w:val="28"/>
          <w:szCs w:val="28"/>
        </w:rPr>
      </w:pPr>
      <w:bookmarkStart w:id="0" w:name="loai_1"/>
      <w:r w:rsidRPr="00FA7F04">
        <w:rPr>
          <w:rFonts w:ascii="Arial" w:eastAsia="Times New Roman" w:hAnsi="Arial" w:cs="Arial"/>
          <w:b/>
          <w:bCs/>
          <w:color w:val="000000"/>
          <w:sz w:val="28"/>
          <w:szCs w:val="28"/>
          <w:lang w:val="vi-VN"/>
        </w:rPr>
        <w:t>NGHỊ ĐỊNH</w:t>
      </w:r>
      <w:bookmarkEnd w:id="0"/>
    </w:p>
    <w:p w:rsidR="00FA7F04" w:rsidRPr="00FA7F04" w:rsidRDefault="00FA7F04" w:rsidP="00FA7F04">
      <w:pPr>
        <w:shd w:val="clear" w:color="auto" w:fill="FFFFFF"/>
        <w:spacing w:after="0" w:line="234" w:lineRule="atLeast"/>
        <w:jc w:val="center"/>
        <w:rPr>
          <w:rFonts w:ascii="Arial" w:eastAsia="Times New Roman" w:hAnsi="Arial" w:cs="Arial"/>
          <w:color w:val="000000"/>
          <w:sz w:val="24"/>
          <w:szCs w:val="24"/>
        </w:rPr>
      </w:pPr>
      <w:bookmarkStart w:id="1" w:name="loai_1_name"/>
      <w:r w:rsidRPr="00FA7F04">
        <w:rPr>
          <w:rFonts w:ascii="Arial" w:eastAsia="Times New Roman" w:hAnsi="Arial" w:cs="Arial"/>
          <w:color w:val="000000"/>
          <w:sz w:val="24"/>
          <w:szCs w:val="24"/>
          <w:lang w:val="vi-VN"/>
        </w:rPr>
        <w:t>QUY ĐỊNH CƠ CHẾ TỰ CHỦ CỦA ĐƠN VỊ SỰ NGHIỆP CÔNG LẬP</w:t>
      </w:r>
      <w:bookmarkEnd w:id="1"/>
    </w:p>
    <w:p w:rsidR="00FA7F04" w:rsidRDefault="00FA7F04" w:rsidP="00FA7F04">
      <w:pPr>
        <w:shd w:val="clear" w:color="auto" w:fill="FFFFFF"/>
        <w:spacing w:before="120" w:after="0" w:line="234" w:lineRule="atLeast"/>
        <w:rPr>
          <w:rFonts w:ascii="Arial" w:eastAsia="Times New Roman" w:hAnsi="Arial" w:cs="Arial"/>
          <w:i/>
          <w:iCs/>
          <w:color w:val="000000"/>
          <w:sz w:val="18"/>
          <w:szCs w:val="18"/>
        </w:rPr>
      </w:pPr>
    </w:p>
    <w:p w:rsidR="00FA7F04" w:rsidRPr="00FA7F04" w:rsidRDefault="00FA7F04" w:rsidP="00FA7F04">
      <w:pPr>
        <w:shd w:val="clear" w:color="auto" w:fill="FFFFFF"/>
        <w:spacing w:before="120" w:after="0" w:line="234" w:lineRule="atLeast"/>
        <w:ind w:firstLine="1701"/>
        <w:rPr>
          <w:rFonts w:ascii="Arial" w:eastAsia="Times New Roman" w:hAnsi="Arial" w:cs="Arial"/>
          <w:color w:val="000000"/>
          <w:sz w:val="18"/>
          <w:szCs w:val="18"/>
        </w:rPr>
      </w:pPr>
      <w:r w:rsidRPr="00FA7F04">
        <w:rPr>
          <w:rFonts w:ascii="Arial" w:eastAsia="Times New Roman" w:hAnsi="Arial" w:cs="Arial"/>
          <w:i/>
          <w:iCs/>
          <w:color w:val="000000"/>
          <w:sz w:val="18"/>
          <w:szCs w:val="18"/>
          <w:lang w:val="vi-VN"/>
        </w:rPr>
        <w:t>Căn cứ Luật Tổ chức Chính phủ ngày 25 tháng 12 năm 2001;</w:t>
      </w:r>
    </w:p>
    <w:p w:rsidR="00FA7F04" w:rsidRPr="00FA7F04" w:rsidRDefault="00FA7F04" w:rsidP="00FA7F04">
      <w:pPr>
        <w:shd w:val="clear" w:color="auto" w:fill="FFFFFF"/>
        <w:spacing w:before="120" w:after="0" w:line="234" w:lineRule="atLeast"/>
        <w:ind w:firstLine="1701"/>
        <w:rPr>
          <w:rFonts w:ascii="Arial" w:eastAsia="Times New Roman" w:hAnsi="Arial" w:cs="Arial"/>
          <w:color w:val="000000"/>
          <w:sz w:val="18"/>
          <w:szCs w:val="18"/>
        </w:rPr>
      </w:pPr>
      <w:r w:rsidRPr="00FA7F04">
        <w:rPr>
          <w:rFonts w:ascii="Arial" w:eastAsia="Times New Roman" w:hAnsi="Arial" w:cs="Arial"/>
          <w:i/>
          <w:iCs/>
          <w:color w:val="000000"/>
          <w:sz w:val="18"/>
          <w:szCs w:val="18"/>
          <w:lang w:val="vi-VN"/>
        </w:rPr>
        <w:t>Căn cứ Luật Ngân sách nhà nước ngày 16 tháng 12 năm 2002;</w:t>
      </w:r>
    </w:p>
    <w:p w:rsidR="00FA7F04" w:rsidRPr="00FA7F04" w:rsidRDefault="00FA7F04" w:rsidP="00FA7F04">
      <w:pPr>
        <w:shd w:val="clear" w:color="auto" w:fill="FFFFFF"/>
        <w:spacing w:before="120" w:after="0" w:line="234" w:lineRule="atLeast"/>
        <w:ind w:firstLine="1701"/>
        <w:rPr>
          <w:rFonts w:ascii="Arial" w:eastAsia="Times New Roman" w:hAnsi="Arial" w:cs="Arial"/>
          <w:color w:val="000000"/>
          <w:sz w:val="18"/>
          <w:szCs w:val="18"/>
        </w:rPr>
      </w:pPr>
      <w:r w:rsidRPr="00FA7F04">
        <w:rPr>
          <w:rFonts w:ascii="Arial" w:eastAsia="Times New Roman" w:hAnsi="Arial" w:cs="Arial"/>
          <w:i/>
          <w:iCs/>
          <w:color w:val="000000"/>
          <w:sz w:val="18"/>
          <w:szCs w:val="18"/>
          <w:lang w:val="vi-VN"/>
        </w:rPr>
        <w:t>Căn cứ Luật Quản lý, sử dụng tài sản nhà nước ngày 03 tháng 6 năm 2008;</w:t>
      </w:r>
    </w:p>
    <w:p w:rsidR="00FA7F04" w:rsidRPr="00FA7F04" w:rsidRDefault="00FA7F04" w:rsidP="00FA7F04">
      <w:pPr>
        <w:shd w:val="clear" w:color="auto" w:fill="FFFFFF"/>
        <w:spacing w:before="120" w:after="0" w:line="234" w:lineRule="atLeast"/>
        <w:ind w:firstLine="1701"/>
        <w:rPr>
          <w:rFonts w:ascii="Arial" w:eastAsia="Times New Roman" w:hAnsi="Arial" w:cs="Arial"/>
          <w:color w:val="000000"/>
          <w:sz w:val="18"/>
          <w:szCs w:val="18"/>
        </w:rPr>
      </w:pPr>
      <w:r w:rsidRPr="00FA7F04">
        <w:rPr>
          <w:rFonts w:ascii="Arial" w:eastAsia="Times New Roman" w:hAnsi="Arial" w:cs="Arial"/>
          <w:i/>
          <w:iCs/>
          <w:color w:val="000000"/>
          <w:sz w:val="18"/>
          <w:szCs w:val="18"/>
          <w:lang w:val="vi-VN"/>
        </w:rPr>
        <w:t>Căn cứ Luật Viên chức ngày 15 tháng 11 năm 2010;</w:t>
      </w:r>
    </w:p>
    <w:p w:rsidR="00FA7F04" w:rsidRPr="00FA7F04" w:rsidRDefault="00FA7F04" w:rsidP="00FA7F04">
      <w:pPr>
        <w:shd w:val="clear" w:color="auto" w:fill="FFFFFF"/>
        <w:spacing w:before="120" w:after="0" w:line="234" w:lineRule="atLeast"/>
        <w:ind w:firstLine="1701"/>
        <w:rPr>
          <w:rFonts w:ascii="Arial" w:eastAsia="Times New Roman" w:hAnsi="Arial" w:cs="Arial"/>
          <w:color w:val="000000"/>
          <w:sz w:val="18"/>
          <w:szCs w:val="18"/>
        </w:rPr>
      </w:pPr>
      <w:r w:rsidRPr="00FA7F04">
        <w:rPr>
          <w:rFonts w:ascii="Arial" w:eastAsia="Times New Roman" w:hAnsi="Arial" w:cs="Arial"/>
          <w:i/>
          <w:iCs/>
          <w:color w:val="000000"/>
          <w:sz w:val="18"/>
          <w:szCs w:val="18"/>
          <w:lang w:val="vi-VN"/>
        </w:rPr>
        <w:t>Căn cứ Luật Giá ngày 20 tháng 6 năm 2012;</w:t>
      </w:r>
    </w:p>
    <w:p w:rsidR="00FA7F04" w:rsidRPr="00FA7F04" w:rsidRDefault="00FA7F04" w:rsidP="00FA7F04">
      <w:pPr>
        <w:shd w:val="clear" w:color="auto" w:fill="FFFFFF"/>
        <w:spacing w:before="120" w:after="0" w:line="234" w:lineRule="atLeast"/>
        <w:ind w:firstLine="1701"/>
        <w:rPr>
          <w:rFonts w:ascii="Arial" w:eastAsia="Times New Roman" w:hAnsi="Arial" w:cs="Arial"/>
          <w:color w:val="000000"/>
          <w:sz w:val="18"/>
          <w:szCs w:val="18"/>
        </w:rPr>
      </w:pPr>
      <w:r w:rsidRPr="00FA7F04">
        <w:rPr>
          <w:rFonts w:ascii="Arial" w:eastAsia="Times New Roman" w:hAnsi="Arial" w:cs="Arial"/>
          <w:i/>
          <w:iCs/>
          <w:color w:val="000000"/>
          <w:sz w:val="18"/>
          <w:szCs w:val="18"/>
          <w:lang w:val="vi-VN"/>
        </w:rPr>
        <w:t>Theo đề nghị của Bộ trưởng Bộ Tài chính,</w:t>
      </w:r>
    </w:p>
    <w:p w:rsidR="00FA7F04" w:rsidRPr="00FA7F04" w:rsidRDefault="00FA7F04" w:rsidP="00FA7F04">
      <w:pPr>
        <w:shd w:val="clear" w:color="auto" w:fill="FFFFFF"/>
        <w:spacing w:before="120" w:after="0" w:line="234" w:lineRule="atLeast"/>
        <w:ind w:firstLine="1701"/>
        <w:rPr>
          <w:rFonts w:ascii="Arial" w:eastAsia="Times New Roman" w:hAnsi="Arial" w:cs="Arial"/>
          <w:color w:val="000000"/>
          <w:sz w:val="18"/>
          <w:szCs w:val="18"/>
        </w:rPr>
      </w:pPr>
      <w:r w:rsidRPr="00FA7F04">
        <w:rPr>
          <w:rFonts w:ascii="Arial" w:eastAsia="Times New Roman" w:hAnsi="Arial" w:cs="Arial"/>
          <w:i/>
          <w:iCs/>
          <w:color w:val="000000"/>
          <w:sz w:val="18"/>
          <w:szCs w:val="18"/>
          <w:lang w:val="vi-VN"/>
        </w:rPr>
        <w:t>Chính phủ ban hành Nghị định quy định cơ chế tự chủ của đơn vị sự nghiệp công lập.</w:t>
      </w:r>
    </w:p>
    <w:p w:rsidR="00FA7F04" w:rsidRDefault="00FA7F04" w:rsidP="00FA7F04">
      <w:pPr>
        <w:shd w:val="clear" w:color="auto" w:fill="FFFFFF"/>
        <w:spacing w:after="0" w:line="234" w:lineRule="atLeast"/>
        <w:ind w:firstLine="1701"/>
        <w:rPr>
          <w:rFonts w:ascii="Arial" w:eastAsia="Times New Roman" w:hAnsi="Arial" w:cs="Arial"/>
          <w:b/>
          <w:bCs/>
          <w:color w:val="000000"/>
          <w:sz w:val="18"/>
          <w:szCs w:val="18"/>
        </w:rPr>
      </w:pPr>
      <w:bookmarkStart w:id="2" w:name="chuong_1"/>
    </w:p>
    <w:p w:rsidR="00FA7F04" w:rsidRPr="00FA7F04" w:rsidRDefault="00FA7F04" w:rsidP="00FA7F04">
      <w:pPr>
        <w:shd w:val="clear" w:color="auto" w:fill="FFFFFF"/>
        <w:spacing w:after="0" w:line="234" w:lineRule="atLeast"/>
        <w:jc w:val="center"/>
        <w:rPr>
          <w:rFonts w:ascii="Arial" w:eastAsia="Times New Roman" w:hAnsi="Arial" w:cs="Arial"/>
          <w:color w:val="000000"/>
          <w:sz w:val="18"/>
          <w:szCs w:val="18"/>
        </w:rPr>
      </w:pPr>
      <w:r w:rsidRPr="00FA7F04">
        <w:rPr>
          <w:rFonts w:ascii="Arial" w:eastAsia="Times New Roman" w:hAnsi="Arial" w:cs="Arial"/>
          <w:b/>
          <w:bCs/>
          <w:color w:val="000000"/>
          <w:sz w:val="18"/>
          <w:szCs w:val="18"/>
        </w:rPr>
        <w:t>Chương I</w:t>
      </w:r>
      <w:bookmarkEnd w:id="2"/>
    </w:p>
    <w:p w:rsidR="00FA7F04" w:rsidRPr="00FA7F04" w:rsidRDefault="00FA7F04" w:rsidP="00FA7F04">
      <w:pPr>
        <w:shd w:val="clear" w:color="auto" w:fill="FFFFFF"/>
        <w:spacing w:after="0" w:line="234" w:lineRule="atLeast"/>
        <w:jc w:val="center"/>
        <w:rPr>
          <w:rFonts w:ascii="Arial" w:eastAsia="Times New Roman" w:hAnsi="Arial" w:cs="Arial"/>
          <w:color w:val="000000"/>
          <w:sz w:val="18"/>
          <w:szCs w:val="18"/>
        </w:rPr>
      </w:pPr>
      <w:bookmarkStart w:id="3" w:name="chuong_1_name"/>
      <w:r w:rsidRPr="00FA7F04">
        <w:rPr>
          <w:rFonts w:ascii="Arial" w:eastAsia="Times New Roman" w:hAnsi="Arial" w:cs="Arial"/>
          <w:b/>
          <w:bCs/>
          <w:color w:val="000000"/>
          <w:sz w:val="24"/>
          <w:szCs w:val="24"/>
        </w:rPr>
        <w:t>NHỮNG QUY ĐỊNH CHUNG</w:t>
      </w:r>
      <w:bookmarkEnd w:id="3"/>
    </w:p>
    <w:p w:rsidR="00FA7F04" w:rsidRPr="00FA7F04" w:rsidRDefault="00FA7F04" w:rsidP="00FA7F04">
      <w:pPr>
        <w:shd w:val="clear" w:color="auto" w:fill="FFFFFF"/>
        <w:spacing w:after="0" w:line="234" w:lineRule="atLeast"/>
        <w:rPr>
          <w:rFonts w:ascii="Arial" w:eastAsia="Times New Roman" w:hAnsi="Arial" w:cs="Arial"/>
          <w:color w:val="000000"/>
        </w:rPr>
      </w:pPr>
      <w:bookmarkStart w:id="4" w:name="dieu_1"/>
      <w:r w:rsidRPr="00FA7F04">
        <w:rPr>
          <w:rFonts w:ascii="Arial" w:eastAsia="Times New Roman" w:hAnsi="Arial" w:cs="Arial"/>
          <w:b/>
          <w:bCs/>
          <w:color w:val="000000"/>
        </w:rPr>
        <w:t>Điều 1. Phạm vi điều chỉnh</w:t>
      </w:r>
      <w:bookmarkEnd w:id="4"/>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Nghị định này quy định các nguyên tắc, quy định chung về cơ chế tự chủ của đơn vị sự nghiệp công lập trong các lĩnh vực: Giáo dục đào tạo; dạy nghề; y tế; văn hóa, thể thao và du lịch; thông tin truyền thông và báo chí; khoa học và công nghệ; sự nghiệp kinh tế và sự nghiệp khác.</w:t>
      </w:r>
    </w:p>
    <w:p w:rsidR="00FA7F04" w:rsidRDefault="00FA7F04" w:rsidP="00FA7F04">
      <w:pPr>
        <w:shd w:val="clear" w:color="auto" w:fill="FFFFFF"/>
        <w:spacing w:after="0" w:line="234" w:lineRule="atLeast"/>
        <w:rPr>
          <w:rFonts w:ascii="Arial" w:eastAsia="Times New Roman" w:hAnsi="Arial" w:cs="Arial"/>
          <w:b/>
          <w:bCs/>
          <w:color w:val="000000"/>
        </w:rPr>
      </w:pPr>
      <w:bookmarkStart w:id="5" w:name="dieu_2"/>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2. Đối tượng áp dụng</w:t>
      </w:r>
      <w:bookmarkEnd w:id="5"/>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Đơn vị sự nghiệp công lập do cơ quan có thẩm quyền của Nhà nước thành lập theo quy định của pháp luật, có tư cách pháp nhân, cung cấp dịch vụ công, phục vụ quản lý nhà nước (sau đây gọi là đơn vị sự nghiệp công).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Đơn vị sự nghiệp công trực thuộc Bộ Quốc phòng, Bộ Công an, tổ chức chính trị, tổ chức chính trị - xã hội áp dụng các quy định tại Nghị định này và các quy định của pháp luật khác có liên quan.</w:t>
      </w:r>
    </w:p>
    <w:p w:rsidR="00FA7F04" w:rsidRDefault="00FA7F04" w:rsidP="00FA7F04">
      <w:pPr>
        <w:shd w:val="clear" w:color="auto" w:fill="FFFFFF"/>
        <w:spacing w:after="0" w:line="234" w:lineRule="atLeast"/>
        <w:rPr>
          <w:rFonts w:ascii="Arial" w:eastAsia="Times New Roman" w:hAnsi="Arial" w:cs="Arial"/>
          <w:b/>
          <w:bCs/>
          <w:color w:val="000000"/>
        </w:rPr>
      </w:pPr>
      <w:bookmarkStart w:id="6" w:name="dieu_3"/>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3. Giải thích từ ngữ</w:t>
      </w:r>
      <w:bookmarkEnd w:id="6"/>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Trong Nghị định này, các từ ngữ dưới đây được hiểu như sau:</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“Cơ chế tự chủ của đơn vị sự nghiệp công” là các quy định về quyền tự chủ, tự chịu trách nhiệm trong việc thực hiện nhiệm vụ, tổ chức bộ máy, nhân sự và tài chính của đơn vị sự nghiệp công.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“Dịch vụ sự nghiệp công” là dịch vụ sự nghiệp trong các lĩnh vực giáo dục đào tạo; dạy nghề; y tế; văn hóa, thể thao và du lịch; thông tin truyền thông và báo chí; khoa học và công nghệ; sự nghiệp kinh tế và sự nghiệp khác.</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“Dịch vụ sự nghiệp công sử dụng kinh phí ngân sách nhà nước” là dịch vụ sự nghiệp công mà Nhà nước bảo đảm toàn bộ chi phí hoặc dịch vụ sự nghiệp công chưa tính đủ chi phí trong giá, phí, được ngân sách nhà nước hỗ trợ.</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4. “Dịch vụ sự nghiệp công không sử dụng kinh phí ngân sách nhà nước” là dịch vụ sự nghiệp công có điều kiện xã hội hóa cao, Nhà nước không bao cấp, giá dịch vụ sự nghiệp công theo cơ chế thị trường.</w:t>
      </w:r>
    </w:p>
    <w:p w:rsidR="00FA7F04" w:rsidRDefault="00FA7F04" w:rsidP="00FA7F04">
      <w:pPr>
        <w:shd w:val="clear" w:color="auto" w:fill="FFFFFF"/>
        <w:spacing w:after="0" w:line="234" w:lineRule="atLeast"/>
        <w:rPr>
          <w:rFonts w:ascii="Arial" w:eastAsia="Times New Roman" w:hAnsi="Arial" w:cs="Arial"/>
          <w:b/>
          <w:bCs/>
          <w:color w:val="000000"/>
        </w:rPr>
      </w:pPr>
      <w:bookmarkStart w:id="7" w:name="dieu_4"/>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4. Quản lý nhà nước đối với dịch vụ sự nghiệp công và đơn vị sự nghiệp công</w:t>
      </w:r>
      <w:bookmarkEnd w:id="7"/>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Xây dựng pháp luật về quản lý nhà nước đối với dịch vụ sự nghiệp công và đơn vị sự nghiệp công; khuyến khích, tạo điều kiện, thiết lập môi trường hoạt động bình đẳng, cạnh tranh cho các tổ chức, cá nhân thuộc mọi thành phần kinh tế tham gia cung cấp dịch vụ sự nghiệp công.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xml:space="preserve">2. Quy hoạch mạng lưới các đơn vị sự nghiệp công theo ngành, lĩnh vực; danh mục dịch vụ sự nghiệp công sử dụng ngân sách nhà nước; ban hành định mức kinh tế - kỹ thuật áp dụng trong các </w:t>
      </w:r>
      <w:r w:rsidRPr="00FA7F04">
        <w:rPr>
          <w:rFonts w:ascii="Arial" w:eastAsia="Times New Roman" w:hAnsi="Arial" w:cs="Arial"/>
          <w:color w:val="000000"/>
        </w:rPr>
        <w:lastRenderedPageBreak/>
        <w:t>lĩnh vực dịch vụ sự nghiệp công do Nhà nước quản lý; quy định về đấu thầu, đặt hàng, giao nhiệm vụ cung ứng dịch vụ sự nghiệp công.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Quy định tiêu chí, tiêu chuẩn chất lượng dịch vụ sự nghiệp công; cơ chế giám sát, đánh giá, kiểm định chất lượng dịch vụ sự nghiệp công, hiệu quả hoạt động của đơn vị sự nghiệp công.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4. Quy định lộ trình tính đủ giá, phí để đơn vị sự nghiệp công thực hiện và hỗ trợ trực tiếp cho các đối tượng chính sách sử dụng dịch vụ sự nghiệp công.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5. Quy định trình tự, thủ tục thành lập, tổ chức lại, giải thể và điều kiện tổ chức, hoạt động của đơn vị sự nghiệp công; sắp xếp, chuyển đổi các đơn vị sự nghiệp công theo quy hoạch đã được cấp có thẩm quyền phê duyệt; giao quyền tự chủ đối với các đơn vị sự nghiệp công trực thuộc.</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6. Quy định về chuyển đổi đơn vị sự nghiệp công sang đơn vị sự nghiệp ngoài công lập hoặc doanh nghiệp.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7. Ban hành cơ chế, chính sách khuyến khích xã hội hóa các hoạt động dịch vụ sự nghiệp công.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8. Thanh tra, kiểm tra, xử phạt vi phạm trong hoạt động cung ứng dịch vụ sự nghiệp công.</w:t>
      </w:r>
    </w:p>
    <w:p w:rsidR="00FA7F04" w:rsidRDefault="00FA7F04" w:rsidP="00FA7F04">
      <w:pPr>
        <w:shd w:val="clear" w:color="auto" w:fill="FFFFFF"/>
        <w:spacing w:after="0" w:line="234" w:lineRule="atLeast"/>
        <w:jc w:val="both"/>
        <w:rPr>
          <w:rFonts w:ascii="Arial" w:eastAsia="Times New Roman" w:hAnsi="Arial" w:cs="Arial"/>
          <w:b/>
          <w:bCs/>
          <w:color w:val="000000"/>
        </w:rPr>
      </w:pPr>
      <w:bookmarkStart w:id="8" w:name="chuong_2"/>
    </w:p>
    <w:p w:rsidR="00FA7F04" w:rsidRPr="00FA7F04" w:rsidRDefault="00FA7F04" w:rsidP="00FA7F04">
      <w:pPr>
        <w:shd w:val="clear" w:color="auto" w:fill="FFFFFF"/>
        <w:spacing w:after="0" w:line="234" w:lineRule="atLeast"/>
        <w:jc w:val="center"/>
        <w:rPr>
          <w:rFonts w:ascii="Arial" w:eastAsia="Times New Roman" w:hAnsi="Arial" w:cs="Arial"/>
          <w:color w:val="000000"/>
        </w:rPr>
      </w:pPr>
      <w:r w:rsidRPr="00FA7F04">
        <w:rPr>
          <w:rFonts w:ascii="Arial" w:eastAsia="Times New Roman" w:hAnsi="Arial" w:cs="Arial"/>
          <w:b/>
          <w:bCs/>
          <w:color w:val="000000"/>
        </w:rPr>
        <w:t>Chương II</w:t>
      </w:r>
      <w:bookmarkEnd w:id="8"/>
    </w:p>
    <w:p w:rsidR="00FA7F04" w:rsidRPr="00FA7F04" w:rsidRDefault="00FA7F04" w:rsidP="00FA7F04">
      <w:pPr>
        <w:shd w:val="clear" w:color="auto" w:fill="FFFFFF"/>
        <w:spacing w:after="0" w:line="234" w:lineRule="atLeast"/>
        <w:jc w:val="center"/>
        <w:rPr>
          <w:rFonts w:ascii="Arial" w:eastAsia="Times New Roman" w:hAnsi="Arial" w:cs="Arial"/>
          <w:color w:val="000000"/>
        </w:rPr>
      </w:pPr>
      <w:bookmarkStart w:id="9" w:name="chuong_2_name"/>
      <w:r w:rsidRPr="00FA7F04">
        <w:rPr>
          <w:rFonts w:ascii="Arial" w:eastAsia="Times New Roman" w:hAnsi="Arial" w:cs="Arial"/>
          <w:b/>
          <w:bCs/>
          <w:color w:val="000000"/>
        </w:rPr>
        <w:t>CƠ CHẾ TỰ CHỦ CỦA ĐƠN VỊ SỰ NGHIỆP CÔNG</w:t>
      </w:r>
      <w:bookmarkEnd w:id="9"/>
    </w:p>
    <w:p w:rsidR="00FA7F04" w:rsidRPr="00FA7F04" w:rsidRDefault="00FA7F04" w:rsidP="00FA7F04">
      <w:pPr>
        <w:shd w:val="clear" w:color="auto" w:fill="FFFFFF"/>
        <w:spacing w:after="0" w:line="234" w:lineRule="atLeast"/>
        <w:rPr>
          <w:rFonts w:ascii="Arial" w:eastAsia="Times New Roman" w:hAnsi="Arial" w:cs="Arial"/>
          <w:color w:val="000000"/>
        </w:rPr>
      </w:pPr>
      <w:bookmarkStart w:id="10" w:name="muc_1"/>
      <w:r w:rsidRPr="00FA7F04">
        <w:rPr>
          <w:rFonts w:ascii="Arial" w:eastAsia="Times New Roman" w:hAnsi="Arial" w:cs="Arial"/>
          <w:b/>
          <w:bCs/>
          <w:color w:val="000000"/>
        </w:rPr>
        <w:t>Mục 1: TỰ CHỦ VỀ THỰC HIỆN NHIỆM VỤ, TỔ CHỨC BỘ MÁY VÀ NHÂN SỰ</w:t>
      </w:r>
      <w:bookmarkEnd w:id="10"/>
    </w:p>
    <w:p w:rsidR="00FA7F04" w:rsidRDefault="00FA7F04" w:rsidP="00FA7F04">
      <w:pPr>
        <w:shd w:val="clear" w:color="auto" w:fill="FFFFFF"/>
        <w:spacing w:after="0" w:line="234" w:lineRule="atLeast"/>
        <w:rPr>
          <w:rFonts w:ascii="Arial" w:eastAsia="Times New Roman" w:hAnsi="Arial" w:cs="Arial"/>
          <w:b/>
          <w:bCs/>
          <w:color w:val="000000"/>
        </w:rPr>
      </w:pPr>
      <w:bookmarkStart w:id="11" w:name="dieu_5"/>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5. Tự chủ về thực hiện nhiệm vụ</w:t>
      </w:r>
      <w:bookmarkEnd w:id="11"/>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Tự chủ trong xây dựng kế hoạch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Kế hoạch thực hiện nhiệm vụ của đơn vị sự nghiệp công bao gồm phần kế hoạch do đơn vị tự xác định phù hợp với chức năng, nhiệm vụ, năng lực của đơn vị theo quy định của pháp luật và phần kế hoạch theo chức năng, nhiệm vụ được giao.</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Đối với dịch vụ sự nghiệp công không sử dụng kinh phí ngân sách nhà nước: Đơn vị sự nghiệp công tự xây dựng kế hoạch thực hiện nhiệm vụ, báo cáo cơ quan quản lý cấp trên để theo dõi, kiểm tra và giám sát việc thực hiện;</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Đối với dịch vụ sự nghiệp công sử dụng kinh phí ngân sách nhà nước: Đơn vị sự nghiệp công xây dựng kế hoạch thực hiện nhiệm vụ báo cáo cơ quan quản lý cấp trên để phê duyệt và quyết định phương thức giao kế hoạch cho đơn vị thực hiện.</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Tự chủ về tổ chức thực hiện nhiệm vụ</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Quyết định các biện pháp thực hiện nhiệm vụ theo kế hoạch của đơn vị, kế hoạch của cơ quan quản lý cấp trên giao, đảm bảo chất lượng, tiến độ;</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Tham gia đấu thầu cung ứng các dịch vụ sự nghiệp công phù hợp với lĩnh vực chuyên môn của đơn vị được cấp có thẩm quyền giao;</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c) Liên doanh, liên kết với các tổ chức, cá nhân để hoạt động dịch vụ đáp ứng nhu cầu của xã hội theo quy định của pháp luật.</w:t>
      </w:r>
    </w:p>
    <w:p w:rsidR="00FA7F04" w:rsidRDefault="00FA7F04" w:rsidP="00FA7F04">
      <w:pPr>
        <w:shd w:val="clear" w:color="auto" w:fill="FFFFFF"/>
        <w:spacing w:after="0" w:line="234" w:lineRule="atLeast"/>
        <w:rPr>
          <w:rFonts w:ascii="Arial" w:eastAsia="Times New Roman" w:hAnsi="Arial" w:cs="Arial"/>
          <w:b/>
          <w:bCs/>
          <w:color w:val="000000"/>
        </w:rPr>
      </w:pPr>
      <w:bookmarkStart w:id="12" w:name="dieu_6"/>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6. Tự chủ về tổ chức bộ máy</w:t>
      </w:r>
      <w:bookmarkEnd w:id="12"/>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Đơn vị sự nghiệp công được quyết định thành lập, tổ chức lại, giải thể các đơn vị không thuộc cơ cấu tổ chức các đơn vị cấu thành theo quyết định của cơ quan có thẩm quyền, khi đáp ứng các tiêu chí, điều kiện, tiêu chuẩn theo quy định của pháp luật; xây dựng phương án sắp xếp lại các đơn vị cấu thành trình cơ quan có thẩm quyền quyết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Riêng đơn vị sự nghiệp công tự bảo đảm một phần chi thường xuyên và đơn vị sự nghiệp công do ngân sách nhà nước bảo đảm chi thường xuyên: Xây dựng phương án sắp xếp, kiện toàn cơ cấu tổ chức của đơn vị trình cơ quan có thẩm quyền quyết định.</w:t>
      </w:r>
    </w:p>
    <w:p w:rsidR="00FA7F04" w:rsidRDefault="00FA7F04" w:rsidP="00FA7F04">
      <w:pPr>
        <w:shd w:val="clear" w:color="auto" w:fill="FFFFFF"/>
        <w:spacing w:after="0" w:line="234" w:lineRule="atLeast"/>
        <w:rPr>
          <w:rFonts w:ascii="Arial" w:eastAsia="Times New Roman" w:hAnsi="Arial" w:cs="Arial"/>
          <w:b/>
          <w:bCs/>
          <w:color w:val="000000"/>
        </w:rPr>
      </w:pPr>
      <w:bookmarkStart w:id="13" w:name="dieu_7"/>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7. Tự chủ về nhân sự</w:t>
      </w:r>
      <w:bookmarkEnd w:id="13"/>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Đơn vị sự nghiệp công xây dựng vị trí việc làm và cơ cấu viên chức theo chức danh nghề nghiệp trình cấp có thẩm quyền phê duyệt; tuyển dụng, sử dụng, bổ nhiệm, miễn nhiệm, khen thưởng, kỷ luật và quản lý viên chức, người lao động theo quy định của pháp luật; thuê hợp đồng lao động để thực hiện nhiệm vụ.</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lastRenderedPageBreak/>
        <w:t>Đơn vị sự nghiệp công tự bảo đảm chi thường xuyên và chi đầu tư và đơn vị sự nghiệp công tự bảo đảm chi thường xuyên quyết định số lượng người làm việc; đơn vị sự nghiệp công tự bảo đảm một phần chi thường xuyên đề xuất số lượng người làm việc của đơn vị trình cơ quan có thẩm quyền quyết định; đơn vị sự nghiệp công do ngân sách nhà nước bảo đảm chi thường xuyên đề xuất số lượng người làm việc trên cơ sở định biên bình quân 05 năm trước và không cao hơn số định biên hiện có của đơn vị, trình cơ quan có thẩm quyền quyết định (đối với các đơn vị sự nghiệp công mới thành lập, thời gian hoạt động chưa đủ 05 năm thì tính bình quân cả quá trình hoạt động).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Trường hợp đơn vị sự nghiệp công chưa xây dựng được vị trí việc làm và cơ cấu viên chức theo chức danh nghề nghiệp, số lượng người làm việc được xác định trên cơ sở định biên bình quân các năm trước theo hướng dẫn của Bộ Nội vụ.</w:t>
      </w:r>
    </w:p>
    <w:p w:rsidR="00FA7F04" w:rsidRDefault="00FA7F04" w:rsidP="00FA7F04">
      <w:pPr>
        <w:shd w:val="clear" w:color="auto" w:fill="FFFFFF"/>
        <w:spacing w:after="0" w:line="234" w:lineRule="atLeast"/>
        <w:rPr>
          <w:rFonts w:ascii="Arial" w:eastAsia="Times New Roman" w:hAnsi="Arial" w:cs="Arial"/>
          <w:b/>
          <w:bCs/>
          <w:color w:val="000000"/>
        </w:rPr>
      </w:pPr>
      <w:bookmarkStart w:id="14" w:name="dieu_8"/>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8. Hội đồng quản lý</w:t>
      </w:r>
      <w:bookmarkEnd w:id="14"/>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Đơn vị sự nghiệp công tự bảo đảm chi thường xuyên và chi đầu tư phải thành lập Hội đồng quản lý để quyết định những vấn đề quan trọng trong quá trình hoạt động của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Căn cứ vào điều kiện cụ thể, yêu cầu quản lý và pháp luật chuyên ngành, trường hợp cần thiết, các Bộ, cơ quan ngang Bộ, cơ quan thuộc Chính phủ (sau đây gọi tắt là các Bộ, cơ quan Trung ương), Ủy ban nhân dân tỉnh, thành phố trực thuộc Trung ương (sau đây gọi tắt là Ủy ban nhân dân cấp tỉnh) quy định việc thành lập Hội đồng quản lý đối với các đơn vị sự nghiệp công không thuộc quy định tại Khoản 1 Điều này.</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Hội đồng quản lý quyết định về chiến lược, kế hoạch trung hạn và hàng năm của đơn vị; quyết định chủ trương đầu tư mở rộng hoạt động, thành lập, tổ chức lại, giải thể các đơn vị trực thuộc; quyết định chủ trương lớn về tổ chức, nhân sự (bổ nhiệm, khen thưởng, kỷ luật viên chức; riêng về số lượng người làm việc thực hiện theo quy định tại Điều 7 Nghị định này); thông qua quy chế tổ chức và hoạt động của đơn vị để trình cấp có thẩm quyền quyết định; thông qua báo cáo quyết toán tài chính hàng năm, thực hiện kiểm tra, giám sát việc thực hiện kế hoạch, việc triển khai quy chế dân chủ, quyết định các vấn đề quan trọng khác của đơn vị theo quy định của pháp luật.</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4. Hội đồng quản lý có từ 05 đến 11 thành viên; Chủ tịch và các thành viên của Hội đồng quản lý do cơ quan có thẩm quyền quyết định thành lập đơn vị bổ nhiệm; Hội đồng quản lý có đại diện của cơ quan quản lý cấp trên.</w:t>
      </w:r>
    </w:p>
    <w:p w:rsidR="00FA7F04" w:rsidRPr="00FA7F04" w:rsidRDefault="00FA7F04" w:rsidP="00FA7F04">
      <w:pPr>
        <w:shd w:val="clear" w:color="auto" w:fill="FFFFFF"/>
        <w:spacing w:after="0" w:line="234" w:lineRule="atLeast"/>
        <w:jc w:val="both"/>
        <w:rPr>
          <w:rFonts w:ascii="Arial" w:eastAsia="Times New Roman" w:hAnsi="Arial" w:cs="Arial"/>
          <w:color w:val="000000"/>
        </w:rPr>
      </w:pPr>
      <w:bookmarkStart w:id="15" w:name="khoan_5_8"/>
      <w:r w:rsidRPr="00FA7F04">
        <w:rPr>
          <w:rFonts w:ascii="Arial" w:eastAsia="Times New Roman" w:hAnsi="Arial" w:cs="Arial"/>
          <w:color w:val="000000"/>
          <w:shd w:val="clear" w:color="auto" w:fill="FFFF96"/>
        </w:rPr>
        <w:t>5. Thủ tục thành lập, vị trí, chức năng, nhiệm vụ, quyền hạn, cơ cấu tổ chức và phê duyệt quy chế hoạt động của Hội đồng quản lý trong đơn vị sự nghiệp công, mối quan hệ giữa Hội đồng quản lý với người đứng đầu đơn vị sự nghiệp công và cơ quan quản lý cấp trên theo hướng dẫn của Bộ Nội vụ.</w:t>
      </w:r>
      <w:bookmarkEnd w:id="15"/>
    </w:p>
    <w:p w:rsidR="00FA7F04" w:rsidRDefault="00FA7F04" w:rsidP="00FA7F04">
      <w:pPr>
        <w:shd w:val="clear" w:color="auto" w:fill="FFFFFF"/>
        <w:spacing w:after="0" w:line="234" w:lineRule="atLeast"/>
        <w:rPr>
          <w:rFonts w:ascii="Arial" w:eastAsia="Times New Roman" w:hAnsi="Arial" w:cs="Arial"/>
          <w:b/>
          <w:bCs/>
          <w:color w:val="000000"/>
        </w:rPr>
      </w:pPr>
      <w:bookmarkStart w:id="16" w:name="muc_2"/>
    </w:p>
    <w:p w:rsidR="00FA7F04" w:rsidRPr="00FA7F04" w:rsidRDefault="00FA7F04" w:rsidP="00FA7F04">
      <w:pPr>
        <w:shd w:val="clear" w:color="auto" w:fill="FFFFFF"/>
        <w:spacing w:after="0" w:line="234" w:lineRule="atLeast"/>
        <w:jc w:val="center"/>
        <w:rPr>
          <w:rFonts w:ascii="Arial" w:eastAsia="Times New Roman" w:hAnsi="Arial" w:cs="Arial"/>
          <w:color w:val="000000"/>
        </w:rPr>
      </w:pPr>
      <w:r w:rsidRPr="00FA7F04">
        <w:rPr>
          <w:rFonts w:ascii="Arial" w:eastAsia="Times New Roman" w:hAnsi="Arial" w:cs="Arial"/>
          <w:b/>
          <w:bCs/>
          <w:color w:val="000000"/>
        </w:rPr>
        <w:t>Mục 2: GIÁ, PHÍ DỊCH VỤ SỰ NGHIỆP CÔNG</w:t>
      </w:r>
      <w:bookmarkEnd w:id="16"/>
    </w:p>
    <w:p w:rsidR="00FA7F04" w:rsidRDefault="00FA7F04" w:rsidP="00FA7F04">
      <w:pPr>
        <w:shd w:val="clear" w:color="auto" w:fill="FFFFFF"/>
        <w:spacing w:after="0" w:line="234" w:lineRule="atLeast"/>
        <w:rPr>
          <w:rFonts w:ascii="Arial" w:eastAsia="Times New Roman" w:hAnsi="Arial" w:cs="Arial"/>
          <w:b/>
          <w:bCs/>
          <w:color w:val="000000"/>
        </w:rPr>
      </w:pPr>
      <w:bookmarkStart w:id="17" w:name="dieu_9"/>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9. Giá, phí dịch vụ sự nghiệp công</w:t>
      </w:r>
      <w:bookmarkEnd w:id="17"/>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Giá dịch vụ sự nghiệp công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Dịch vụ sự nghiệp công không sử dụng kinh phí ngân sách nhà nước</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Đơn vị sự nghiệp công được xác định giá dịch vụ sự nghiệp công theo cơ chế thị trường, được quyết định các khoản thu, mức thu bảo đảm bù đắp chi phí hợp lý, có tích lũy theo quy định của pháp luật đối với từng lĩnh vực;</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Riêng dịch vụ khám bệnh, chữa bệnh và dịch vụ giáo dục, đào tạo tại cơ sở khám bệnh, chữa bệnh, cơ sở giáo dục, đào tạo của Nhà nước thực hiện theo quy định pháp luật về giá.</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Dịch vụ sự nghiệp công sử dụng kinh phí ngân sách nhà nước</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Giá dịch vụ sự nghiệp công được xác định trên cơ sở định mức kinh tế - kỹ thuật, định mức chi phí do cơ quan có thẩm quyền ban hành và lộ trình tính đủ chi phí theo quy định tại Điều 10 Nghị định này, trong đó chi phí tiền lương trong giá dịch vụ sự nghiệp công tính theo mức lương cơ sở, hệ số tiền lương ngạch, bậc, chức vụ đối với đơn vị sự nghiệp công và định mức lao động do các Bộ, cơ quan Trung ương, Ủy ban nhân dân cấp tỉnh ban hành theo thẩm quyền;</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Phương pháp định giá và cơ quan có thẩm quyền định giá dịch vụ sự nghiệp công thực hiện theo quy định pháp luật về giá;</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lastRenderedPageBreak/>
        <w:t>- Trong phạm vi khung giá dịch vụ sự nghiệp công do cơ quan nhà nước có thẩm quyền quy định, đơn vị sự nghiệp công quyết định mức giá cụ thể cho từng loại dịch vụ; trường hợp cơ quan nhà nước có thẩm quyền quy định cụ thể giá dịch vụ sự nghiệp công, đơn vị thu theo mức giá quy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Phí dịch vụ sự nghiệp công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Dịch vụ sự nghiệp công thuộc danh mục thu phí thực hiện theo quy định pháp luật về phí, lệ phí. Đơn vị sự nghiệp công được thu phí theo mức thu do cơ quan nhà nước có thẩm quyền quy định.</w:t>
      </w:r>
    </w:p>
    <w:p w:rsidR="00FA7F04" w:rsidRDefault="00FA7F04" w:rsidP="00FA7F04">
      <w:pPr>
        <w:shd w:val="clear" w:color="auto" w:fill="FFFFFF"/>
        <w:spacing w:after="0" w:line="234" w:lineRule="atLeast"/>
        <w:rPr>
          <w:rFonts w:ascii="Arial" w:eastAsia="Times New Roman" w:hAnsi="Arial" w:cs="Arial"/>
          <w:b/>
          <w:bCs/>
          <w:color w:val="000000"/>
        </w:rPr>
      </w:pPr>
      <w:bookmarkStart w:id="18" w:name="dieu_10"/>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10. Lộ trình tính giá dịch vụ sự nghiệp công sử dụng kinh phí ngân sách nhà nước</w:t>
      </w:r>
      <w:bookmarkEnd w:id="18"/>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Lộ trình tính giá dịch vụ sự nghiệp công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Đến năm 2016: Tính đủ chi phí tiền lương, chi phí trực tiếp (chưa tính chi phí quản lý và chi phí khấu hao tài sản cố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Đến năm 2018: Tính đủ chi phí tiền lương, chi phí trực tiếp và chi phí quản lý (chưa tính chi phí khấu hao tài sản cố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c) Đến năm 2020: Tính đủ chi phí tiền lương, chi phí trực tiếp, chi phí quản lý và chi phí khấu hao tài sản cố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Căn cứ vào tình hình thực tế, các đơn vị sự nghiệp công được thực hiện trước lộ trình giá dịch vụ sự nghiệp công quy định tại Khoản 1 Điều này.</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Các Bộ, cơ quan Trung ương, Ủy ban nhân dân cấp tỉnh căn cứ quy định về giá dịch vụ sự nghiệp công tại Khoản 1 Điều 9 Nghị định này, khả năng cân đối ngân sách nhà nước và khả năng chi trả của người hưởng thụ, quy định lộ trình tính giá dịch vụ sự nghiệp công trình cấp có thẩm quyền ban hành hoặc ban hành theo thẩm quyền.</w:t>
      </w:r>
    </w:p>
    <w:p w:rsidR="00FA7F04" w:rsidRDefault="00FA7F04" w:rsidP="00FA7F04">
      <w:pPr>
        <w:shd w:val="clear" w:color="auto" w:fill="FFFFFF"/>
        <w:spacing w:after="0" w:line="234" w:lineRule="atLeast"/>
        <w:jc w:val="both"/>
        <w:rPr>
          <w:rFonts w:ascii="Arial" w:eastAsia="Times New Roman" w:hAnsi="Arial" w:cs="Arial"/>
          <w:b/>
          <w:bCs/>
          <w:color w:val="000000"/>
        </w:rPr>
      </w:pPr>
      <w:bookmarkStart w:id="19" w:name="dieu_11"/>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11. Danh mục dịch vụ sự nghiệp công sử dụng ngân sách nhà nước</w:t>
      </w:r>
      <w:bookmarkEnd w:id="19"/>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Danh mục dịch vụ sự nghiệp công sử dụng ngân sách nhà nước do cơ quan nhà nước có thẩm quyền ban hành: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Bộ trưởng, Thủ trưởng cơ quan Trung ương xác định danh mục dịch vụ sự nghiệp công sử dụng ngân sách nhà nước của ngành, lĩnh vực quản lý trình Thủ tướng Chính phủ quy định, sau khi có ý kiến của Bộ Tài chính, Bộ Kế hoạch và Đầu tư;</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Chủ tịch Ủy ban nhân dân cấp tỉnh quyết định danh mục dịch vụ sự nghiệp công sử dụng ngân sách nhà nước theo phân cấp thuộc phạm vi quản lý của địa phương (trừ danh mục dịch vụ sự nghiệp công Thủ tướng Chính phủ ban hành tại Điểm a Khoản 1 Điều này).</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Căn cứ danh mục dịch vụ sự nghiệp công quy định tại Khoản 1 Điều này, các Bộ, cơ quan Trung ương, Ủy ban nhân dân cấp tỉnh quyết định hoặc phân cấp cho cơ quan cấp dưới lựa chọn đơn vị sự nghiệp công để cung ứng dịch vụ sự nghiệp công theo hình thức giao nhiệm vụ, đặt hàng hoặc đấu thầu theo quy định.</w:t>
      </w:r>
    </w:p>
    <w:p w:rsidR="00FA7F04" w:rsidRDefault="00FA7F04" w:rsidP="00FA7F04">
      <w:pPr>
        <w:shd w:val="clear" w:color="auto" w:fill="FFFFFF"/>
        <w:spacing w:after="0" w:line="234" w:lineRule="atLeast"/>
        <w:jc w:val="both"/>
        <w:rPr>
          <w:rFonts w:ascii="Arial" w:eastAsia="Times New Roman" w:hAnsi="Arial" w:cs="Arial"/>
          <w:b/>
          <w:bCs/>
          <w:color w:val="000000"/>
        </w:rPr>
      </w:pPr>
      <w:bookmarkStart w:id="20" w:name="muc_3"/>
    </w:p>
    <w:p w:rsidR="00FA7F04" w:rsidRPr="00FA7F04" w:rsidRDefault="00FA7F04" w:rsidP="00FA7F04">
      <w:pPr>
        <w:shd w:val="clear" w:color="auto" w:fill="FFFFFF"/>
        <w:spacing w:after="0" w:line="234" w:lineRule="atLeast"/>
        <w:jc w:val="center"/>
        <w:rPr>
          <w:rFonts w:ascii="Arial" w:eastAsia="Times New Roman" w:hAnsi="Arial" w:cs="Arial"/>
          <w:color w:val="000000"/>
        </w:rPr>
      </w:pPr>
      <w:r w:rsidRPr="00FA7F04">
        <w:rPr>
          <w:rFonts w:ascii="Arial" w:eastAsia="Times New Roman" w:hAnsi="Arial" w:cs="Arial"/>
          <w:b/>
          <w:bCs/>
          <w:color w:val="000000"/>
        </w:rPr>
        <w:t>Mục 3: TỰ CHỦ VỀ TÀI CHÍNH</w:t>
      </w:r>
      <w:bookmarkEnd w:id="20"/>
    </w:p>
    <w:p w:rsidR="00FA7F04" w:rsidRDefault="00FA7F04" w:rsidP="00FA7F04">
      <w:pPr>
        <w:shd w:val="clear" w:color="auto" w:fill="FFFFFF"/>
        <w:spacing w:after="0" w:line="234" w:lineRule="atLeast"/>
        <w:rPr>
          <w:rFonts w:ascii="Arial" w:eastAsia="Times New Roman" w:hAnsi="Arial" w:cs="Arial"/>
          <w:b/>
          <w:bCs/>
          <w:color w:val="000000"/>
        </w:rPr>
      </w:pPr>
      <w:bookmarkStart w:id="21" w:name="dieu_12"/>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12. Tự chủ tài chính đối với đơn vị sự nghiệp công tự bảo đảm chi thường xuyên và chi đầu tư</w:t>
      </w:r>
      <w:bookmarkEnd w:id="21"/>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Nguồn tài chính của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Nguồn thu từ hoạt động dịch vụ sự nghiệp công, bao gồm cả nguồn ngân sách nhà nước đặt hàng cung cấp dịch vụ sự nghiệp công theo giá tính đủ chi phí;</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Nguồn thu phí theo pháp luật về phí, lệ phí được để lại chi theo quy định (phần được để lại chi thường xuyên và chi mua sắm, sửa chữa lớn trang thiết bị, tài sản phục vụ công tác thu phí);</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c) Nguồn thu khác theo quy định của pháp luật (nếu có);</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d) Nguồn ngân sách nhà nước cấp cho các nhiệm vụ không thường xuyên (nếu có), gồm: Kinh phí thực hiện nhiệm vụ khoa học và công nghệ (đối với đơn vị không phải là tổ chức khoa học công nghệ); kinh phí các chương trình mục tiêu quốc gia; chương trình, dự án, đề án khác; kinh phí đối ứng thực hiện các dự án theo quyết định của cấp có thẩm quyền; vốn đầu tư phát triển; kinh phí mua sắm trang thiết bị phục vụ hoạt động sự nghiệp theo dự án được cấp có thẩm quyền phê duyệt; kinh phí thực hiện nhiệm vụ đột xuất được cơ quan có thẩm quyền giao;</w:t>
      </w:r>
    </w:p>
    <w:p w:rsidR="00FA7F04" w:rsidRPr="00FA7F04" w:rsidRDefault="00FA7F04" w:rsidP="00FA7F04">
      <w:pPr>
        <w:shd w:val="clear" w:color="auto" w:fill="FFFFFF"/>
        <w:spacing w:before="120" w:after="0" w:line="234" w:lineRule="atLeast"/>
        <w:rPr>
          <w:rFonts w:ascii="Arial" w:eastAsia="Times New Roman" w:hAnsi="Arial" w:cs="Arial"/>
          <w:color w:val="000000"/>
        </w:rPr>
      </w:pPr>
      <w:r w:rsidRPr="00FA7F04">
        <w:rPr>
          <w:rFonts w:ascii="Arial" w:eastAsia="Times New Roman" w:hAnsi="Arial" w:cs="Arial"/>
          <w:color w:val="000000"/>
        </w:rPr>
        <w:lastRenderedPageBreak/>
        <w:t>đ) Nguồn vốn vay, viện trợ, tài trợ theo quy định của pháp luật.</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Sử dụng nguồn tài chính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Chi đầu tư từ Quỹ phát triển hoạt động sự nghiệp, nguồn vốn vay và các nguồn tài chính hợp pháp khác.</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Căn cứ nhu cầu đầu tư và khả năng cân đối các nguồn tài chính, đơn vị chủ động xây dựng danh mục các dự án đầu tư, báo cáo cơ quan có thẩm quyền phê duyệt. Trên cơ sở danh mục dự án đầu tư đã được phê duyệt, đơn vị quyết định dự án đầu tư, bao gồm các nội dung về quy mô, phương án xây dựng, tổng mức vốn, nguồn vốn, phân kỳ thời gian triển khai theo quy định của pháp luật về đầu tư.</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Đơn vị sự nghiệp công được vay vốn tín dụng ưu đãi của Nhà nước hoặc được hỗ trợ lãi suất cho các dự án đầu tư sử dụng vốn vay của các tổ chức tín dụng theo quy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Căn cứ yêu cầu phát triển của đơn vị, Nhà nước xem xét bố trí vốn cho các dự án đầu tư đang triển khai, các dự án đầu tư khác theo quyết định của cấp có thẩm quyền.</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Chi thường xuyên: Đơn vị được chủ động sử dụng các nguồn tài chính giao tự chủ quy định tại Điểm a, Điểm b (phần được để lại chi thường xuyên) và Điểm c Khoản 1 Điều này để chi thường xuyên. Một số nội dung chi được quy định như sau:</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Chi tiền lương: Đơn vị chi trả tiền lương theo lương ngạch, bậc, chức vụ và các khoản phụ cấp do Nhà nước quy định đối với đơn vị sự nghiệp công. Khi Nhà nước điều chỉnh tiền lương, đơn vị tự bảo đảm tiền lương tăng thêm từ nguồn thu của đơn vị (ngân sách nhà nước không cấp bổ sung).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Chi hoạt động chuyên môn, chi quản lý</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Đối với các nội dung chi đã có định mức chi theo quy định của cơ quan nhà nước có thẩm quyền: Căn cứ vào khả năng tài chính, đơn vị được quyết định mức chi cao hơn hoặc thấp hơn mức chi do cơ quan nhà nước có thẩm quyền ban hành và quy định trong quy chế chi tiêu nội bộ của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Đối với các nội dung chi chưa có định mức chi theo quy định của cơ quan nhà nước có thẩm quyền: Căn cứ tình hình thực tế, đơn vị xây dựng mức chi cho phù hợp theo quy chế chi tiêu nội bộ và phải chịu trách nhiệm về quyết định của mình.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Trích khấu hao tài sản cố định theo quy định. Tiền trích khấu hao tài sản hình thành từ nguồn vốn ngân sách nhà nước hoặc có nguồn gốc từ ngân sách được hạch toán vào Quỹ phát triển hoạt động sự nghiệp.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c) Chi nhiệm vụ không thường xuyên: Đơn vị chi theo quy định của Luật Ngân sách nhà nước và pháp luật hiện hành đối với từng nguồn kinh phí quy định tại Điểm b (phần được để lại chi mua sắm, sửa chữa lớn trang thiết bị, tài sản phục vụ công tác thu phí), Điểm d và Điểm đ Khoản 1 Điều này.</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d) Đơn vị sự nghiệp công phải thực hiện đúng các quy định của Nhà nước về mức chi, tiêu chuẩn, định mức sử dụng xe ô tô; tiêu chuẩn, định mức về nhà làm việc; tiêu chuẩn, định mức trang bị điện thoại công vụ tại nhà riêng và điện thoại di động; chế độ công tác phí nước ngoài; chế độ tiếp khách nước ngoài và hội thảo quốc tế ở Việt Nam.</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Phân phối kết quả tài chính trong năm</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Hàng năm, sau khi hạch toán đầy đủ các khoản chi phí, nộp thuế và các khoản nộp ngân sách nhà nước khác (nếu có) theo quy định, phần chênh lệch thu lớn hơn chi thường xuyên (nếu có), đơn vị được sử dụng theo trình tự như sau:</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Trích tối thiểu 25% để lập Quỹ phát triển hoạt động sự nghiệp;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Trích lập Quỹ bổ sung thu nhập: Đơn vị được tự quyết định mức trích Quỹ bổ sung thu nhập (không khống chế mức trích);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Trích lập Quỹ khen thưởng và Quỹ phúc lợi tối đa không quá 3 tháng tiền lương, tiền công thực hiện trong năm của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Trích lập Quỹ khác theo quy định của pháp luật;</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Phần chênh lệch thu lớn hơn chi còn lại (nếu có) sau khi đã trích lập các quỹ theo quy định được bổ sung vào Quỹ phát triển hoạt động sự nghiệp.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Sử dụng các Quỹ</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lastRenderedPageBreak/>
        <w:t>- Quỹ phát triển hoạt động sự nghiệp: Để đầu tư xây dựng cơ sở vật chất, mua sắm trang thiết bị, phương tiện làm việc; phát triển năng lực hoạt động sự nghiệp; chi áp dụng tiến bộ khoa học kỹ thuật công nghệ; đào tạo nâng cao nghiệp vụ chuyên môn cho người lao động trong đơn vị; góp vốn liên doanh, liên kết với các tổ chức, cá nhân trong và ngoài nước (đối với đơn vị được giao vốn theo quy định) để tổ chức hoạt động dịch vụ phù hợp với chức năng, nhiệm vụ được giao và các khoản chi khác (nếu có).</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Quỹ bổ sung thu nhập: Để chi bổ sung thu nhập cho người lao động trong năm và dự phòng chi bổ sung thu nhập cho người lao động năm sau trong trường hợp nguồn thu nhập bị giảm.</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Việc chi bổ sung thu nhập cho người lao động trong đơn vị được thực hiện theo nguyên tắc gắn với số lượng, chất lượng và hiệu quả công tác. Hệ số thu nhập tăng thêm của chức danh lãnh đạo đơn vị sự nghiệp công tối đa không quá 2 lần hệ số thu nhập tăng thêm bình quân thực hiện của người lao động trong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Quỹ khen thưởng: Để thưởng định kỳ, đột xuất cho tập thể, cá nhân trong và ngoài đơn vị (ngoài chế độ khen thưởng theo quy định của Luật Thi đua khen thưởng) theo hiệu quả công việc và thành tích đóng góp vào hoạt động của đơn vị. Mức thưởng do thủ trưởng đơn vị quyết định theo quy chế chi tiêu nội bộ của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Quỹ phúc lợi: Để xây dựng, sửa chữa các công trình phúc lợi; chi cho các hoạt động phúc lợi tập thể của người lao động trong đơn vị; trợ cấp khó khăn đột xuất cho người lao động, kể cả trường hợp nghỉ hưu, nghỉ mất sức; chi thêm cho người lao động thực hiện tinh giản biên chế.</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c) Mức trích cụ thể của các quỹ quy định tại Điểm a Khoản này và việc sử dụng các quỹ do thủ trưởng đơn vị quyết định theo quy chế chi tiêu nội bộ và phải công khai trong đơn vị.</w:t>
      </w:r>
    </w:p>
    <w:p w:rsidR="00FA7F04" w:rsidRDefault="00FA7F04" w:rsidP="00FA7F04">
      <w:pPr>
        <w:shd w:val="clear" w:color="auto" w:fill="FFFFFF"/>
        <w:spacing w:after="0" w:line="234" w:lineRule="atLeast"/>
        <w:rPr>
          <w:rFonts w:ascii="Arial" w:eastAsia="Times New Roman" w:hAnsi="Arial" w:cs="Arial"/>
          <w:b/>
          <w:bCs/>
          <w:color w:val="000000"/>
        </w:rPr>
      </w:pPr>
      <w:bookmarkStart w:id="22" w:name="dieu_13"/>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13. Tự chủ tài chính đối với đơn vị sự nghiệp công tự bảo đảm chi thường xuyên</w:t>
      </w:r>
      <w:bookmarkEnd w:id="22"/>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Nguồn tài chính của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Nguồn thu từ hoạt động dịch vụ sự nghiệp công, bao gồm cả nguồn ngân sách nhà nước đặt hàng cung cấp dịch vụ sự nghiệp công theo giá tính đủ chi phí;</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Nguồn thu phí theo pháp luật về phí, lệ phí được để lại chi theo quy định (phần được để lại chi hoạt động thường xuyên và chi mua sắm, sửa chữa lớn trang thiết bị, tài sản phục vụ công tác thu phí);</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c) Nguồn thu khác theo quy định của pháp luật (nếu có);</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d) Nguồn ngân sách nhà nước cấp cho các nhiệm vụ không thường xuyên quy định tại Điểm d Khoản 1 Điều 12 Nghị định này (nếu có);</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đ) Nguồn vốn vay, viện trợ, tài trợ theo quy định của pháp luật.</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Sử dụng nguồn tài chính: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Chi thường xuyên: Đơn vị được chủ động sử dụng các nguồn tài chính giao tự chủ quy định tại Điểm a, Điểm b (phần được để lại chi hoạt động thường xuyên) và Điểm c Khoản 1 Điều này để chi thường xuyên theo quy định tại Điểm b Khoản 2 Điều 12 Nghị định này;</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Chi nhiệm vụ không thường xuyên: Đơn vị chi theo quy định của Luật Ngân sách nhà nước và pháp luật hiện hành đối với từng nguồn kinh phí quy định tại Điểm b (phần được để lại chi mua sắm, sửa chữa lớn trang thiết bị, tài sản phục vụ công tác thu phí), Điểm d và Điểm đ Khoản 1 Điều này.</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Phân phối kết quả tài chính trong năm theo quy định tại Khoản 3 Điều 12. Riêng trích lập Quỹ bổ sung thu nhập tối đa không quá 3 lần quỹ tiền lương ngạch, bậc, chức vụ và các khoản phụ cấp lương do Nhà nước quy định.</w:t>
      </w:r>
    </w:p>
    <w:p w:rsidR="00FA7F04" w:rsidRDefault="00FA7F04" w:rsidP="00FA7F04">
      <w:pPr>
        <w:shd w:val="clear" w:color="auto" w:fill="FFFFFF"/>
        <w:spacing w:after="0" w:line="234" w:lineRule="atLeast"/>
        <w:rPr>
          <w:rFonts w:ascii="Arial" w:eastAsia="Times New Roman" w:hAnsi="Arial" w:cs="Arial"/>
          <w:b/>
          <w:bCs/>
          <w:color w:val="000000"/>
        </w:rPr>
      </w:pPr>
      <w:bookmarkStart w:id="23" w:name="dieu_14"/>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14. Tự chủ tài chính đối với đơn vị sự nghiệp công tự bảo đảm một phần chi thường xuyên (do giá, phí dịch vụ sự nghiệp công chưa kết cấu đủ chi phí, được Nhà nước đặt hàng, giao nhiệm vụ cung cấp dịch vụ sự nghiệp công theo giá, phí chưa tính đủ chi phí)</w:t>
      </w:r>
      <w:bookmarkEnd w:id="23"/>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Nguồn tài chính của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Nguồn thu từ hoạt động dịch vụ sự nghiệp công;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Nguồn thu phí theo pháp luật về phí, lệ phí được để lại chi theo quy định (phần được để lại chi hoạt động thường xuyên và chi mua sắm, sửa chữa lớn trang thiết bị, tài sản phục vụ công tác thu phí);</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lastRenderedPageBreak/>
        <w:t>c) Nguồn ngân sách nhà nước hỗ trợ phần chi phí chưa kết cấu trong giá, phí dịch vụ sự nghiệp công;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d) Nguồn thu khác theo quy định của pháp luật (nếu có);</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đ) Ngân sách nhà nước cấp kinh phí thực hiện các nhiệm vụ không thường xuyên quy định tại Điểm d Khoản 1 Điều 12 Nghị định này (nếu có);</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e) Nguồn viện trợ, tài trợ theo quy định của pháp luật.</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Sử dụng nguồn tài chính của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Chi thường xuyên: Đơn vị được chủ động sử dụng các nguồn tài chính giao tự chủ quy định tại các Điểm a, Điểm b (phần được để lại chi hoạt động thường xuyên), Điểm c và Điểm d Khoản 1 Điều này để chi thường xuyên. Một số nội dung chi được quy định như sau:</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Chi tiền lương: Đơn vị chi trả tiền lương theo lương ngạch, bậc, chức vụ và các khoản phụ cấp do Nhà nước quy định đối với đơn vị sự nghiệp công. Khi Nhà nước điều chỉnh tiền lương, đơn vị tự bảo đảm tiền lương tăng thêm từ các nguồn theo quy định; trường hợp còn thiếu, ngân sách nhà nước cấp bổ sung;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Chi hoạt động chuyên môn, chi quản lý: Căn cứ vào nhiệm vụ được giao và khả năng nguồn tài chính, đơn vị được quyết định mức chi hoạt động chuyên môn, chi quản lý, nhưng tối đa không vượt quá mức chi do cơ quan nhà nước có thẩm quyền quy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Chi nhiệm vụ không thường xuyên: Đơn vị chi theo quy định của Luật Ngân sách nhà nước và pháp luật hiện hành đối với từng nguồn kinh phí quy định tại Điểm b (phần được để lại chi mua sắm, sửa chữa lớn trang thiết bị, tài sản phục vụ công tác thu phí), Điểm đ và Điểm e Khoản 1 Điều này.</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Phân phối kết quả tài chính trong năm</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Hàng năm, sau khi hạch toán đầy đủ các khoản chi phí, nộp thuế và các khoản nộp ngân sách nhà nước khác (nếu có) theo quy định, phần chênh lệch thu lớn hơn chi hoạt động thường xuyên (nếu có), đơn vị được sử dụng theo trình tự như sau:</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Trích tối thiểu 15% để lập Quỹ phát triển hoạt động sự nghiệp;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Trích lập Quỹ bổ sung thu nhập tối đa không quá 2 lần quỹ tiền lương ngạch, bậc, chức vụ và các khoản phụ cấp lương do Nhà nước quy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Trích lập Quỹ khen thưởng và Quỹ phúc lợi tối đa không quá 2 tháng tiền lương, tiền công thực hiện trong năm của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Trích lập Quỹ khác theo quy định của pháp luật;</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Phần chênh lệch thu lớn hơn chi còn lại (nếu có) sau khi đã trích lập các quỹ theo quy định được bổ sung vào Quỹ phát triển hoạt động sự nghiệp.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Trường hợp chênh lệch thu lớn hơn chi bằng hoặc nhỏ hơn một lần quỹ tiền lương ngạch, bậc, chức vụ thực hiện trong năm, đơn vị được quyết định sử dụng theo trình tự sau: Trích lập Quỹ bổ sung thu nhập; Quỹ phát triển hoạt động sự nghiệp, Quỹ khen thưởng, Quỹ phúc lợi, Quỹ khác (nếu có).</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Mức trích cụ thể của các quỹ theo quy định tại Điểm a Khoản này và việc sử dụng các quỹ do thủ trưởng đơn vị quyết định theo quy chế chi tiêu nội bộ và phải công khai trong đơn vị. Nội dung chi từ các quỹ thực hiện theo quy định tại Điểm b Khoản 3 Điều 12 Nghị định này.</w:t>
      </w:r>
    </w:p>
    <w:p w:rsidR="00FA7F04" w:rsidRDefault="00FA7F04" w:rsidP="00FA7F04">
      <w:pPr>
        <w:shd w:val="clear" w:color="auto" w:fill="FFFFFF"/>
        <w:spacing w:after="0" w:line="234" w:lineRule="atLeast"/>
        <w:rPr>
          <w:rFonts w:ascii="Arial" w:eastAsia="Times New Roman" w:hAnsi="Arial" w:cs="Arial"/>
          <w:b/>
          <w:bCs/>
          <w:color w:val="000000"/>
        </w:rPr>
      </w:pPr>
      <w:bookmarkStart w:id="24" w:name="dieu_15"/>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15. Tự chủ tài chính đối với đơn vị sự nghiệp công do Nhà nước bảo đảm chi thường xuyên (theo chức năng, nhiệm vụ được cấp có thẩm quyền giao, không có nguồn thu hoặc nguồn thu thấp)</w:t>
      </w:r>
      <w:bookmarkEnd w:id="24"/>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Nguồn tài chính của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Ngân sách nhà nước cấp chi thường xuyên trên cơ sở số lượng người làm việc và định mức phân bổ dự toán được cấp có thẩm quyền phê duyệt;</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Nguồn thu khác (nếu có);</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c) Ngân sách nhà nước cấp kinh phí thực hiện các nhiệm vụ không thường xuyên quy định tại Điểm d Khoản 1 Điều 12 Nghị định này (nếu có);</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d) Nguồn viện trợ, tài trợ theo quy định của pháp luật.</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lastRenderedPageBreak/>
        <w:t>2. Nội dung chi của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Chi thường xuyên: Đơn vị được sử dụng nguồn tài chính giao tự chủ quy định tại các Điểm a, Điểm b Khoản 1 Điều này để chi thường xuyên. Một số nội dung chi được quy định như sau:</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Chi tiền lương: Đơn vị chi trả tiền lương theo lương ngạch, bậc, chức vụ và các khoản phụ cấp do Nhà nước quy định đối với đơn vị sự nghiệp công. Khi Nhà nước điều chỉnh tiền lương, đơn vị tự bảo đảm tiền lương tăng thêm từ các nguồn theo quy định, bao gồm cả nguồn ngân sách nhà nước cấp bổ sung;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Chi hoạt động chuyên môn, chi quản lý: Đơn vị được quyết định mức chi nhưng tối đa không vượt quá mức chi do cơ quan nhà nước có thẩm quyền quy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Chi nhiệm vụ không thường xuyên: Đơn vị chi theo quy định của Luật Ngân sách nhà nước và pháp luật hiện hành đối với từng nguồn kinh phí quy định tại Điểm c và Điểm d Khoản 1 Điều này.</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Sử dụng kinh phí tiết kiệm chi thường xuyên</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Hàng năm, sau khi trang trải các khoản chi phí, nộp thuế và các khoản nộp ngân sách nhà nước khác (nếu có) theo quy định, phần kinh phí tiết kiệm chi thường xuyên (nếu có), đơn vị được sử dụng theo trình tự như sau:</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Trích tối thiểu 5% để lập Quỹ phát triển hoạt động sự nghiệp;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Trích lập Quỹ bổ sung thu nhập tối đa không quá 01 lần quỹ tiền lương ngạch, bậc, chức vụ và các khoản phụ cấp lương do Nhà nước quy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Trích lập Quỹ khen thưởng và Quỹ phúc lợi tối đa không quá 01 tháng tiền lương, tiền công thực hiện trong năm của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 Trích lập Quỹ khác theo quy định của pháp luật;</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Trường hợp chênh lệch thu lớn hơn chi bằng hoặc nhỏ hơn một lần quỹ tiền lương ngạch, bậc, chức vụ thực hiện trong năm, đơn vị được quyết định mức trích vào các quỹ cho phù hợp theo quy chế chi tiêu nội bộ của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Mức trích cụ thể của các quỹ theo quy định tại Điểm a Khoản này và việc sử dụng các quỹ do thủ trưởng đơn vị quyết định theo quy chế chi tiêu nội bộ và phải công khai trong đơn vị. Nội dung chi từ các quỹ thực hiện theo quy định tại Điểm b Khoản 3 Điều 12 Nghị định này.</w:t>
      </w:r>
    </w:p>
    <w:p w:rsidR="00FA7F04" w:rsidRDefault="00FA7F04" w:rsidP="00FA7F04">
      <w:pPr>
        <w:shd w:val="clear" w:color="auto" w:fill="FFFFFF"/>
        <w:spacing w:after="0" w:line="234" w:lineRule="atLeast"/>
        <w:rPr>
          <w:rFonts w:ascii="Arial" w:eastAsia="Times New Roman" w:hAnsi="Arial" w:cs="Arial"/>
          <w:b/>
          <w:bCs/>
          <w:color w:val="000000"/>
        </w:rPr>
      </w:pPr>
      <w:bookmarkStart w:id="25" w:name="dieu_16"/>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16. Tự chủ trong giao dịch tài chính</w:t>
      </w:r>
      <w:bookmarkEnd w:id="25"/>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Mở tài khoản giao dịch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Đơn vị sự nghiệp công được mở tài khoản tiền gửi tại Ngân hàng thương mại hoặc Kho bạc Nhà nước để phản ánh các khoản thu, chi hoạt động dịch vụ sự nghiệp công không sử dụng ngân sách nhà nước. Lãi tiền gửi là nguồn thu của đơn vị và được bổ sung vào Quỹ phát triển hoạt động sự nghiệp hoặc bổ sung vào quỹ khác theo quy định của pháp luật, không được bổ sung vào Quỹ bổ sung thu nhập;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Các khoản kinh phí thuộc ngân sách nhà nước, các khoản thu dịch vụ sự nghiệp công sử dụng ngân sách nhà nước, các khoản thu phí theo pháp luật về phí, lệ phí, đơn vị mở tài khoản tại Kho bạc Nhà nước để phản ánh.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Vay vốn, huy động vốn</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Đơn vị sự nghiệp công có hoạt động dịch vụ được vay vốn của các tổ chức tín dụng, huy động vốn của cán bộ, viên chức trong đơn vị để đầu tư mở rộng và nâng cao chất lượng hoạt động sự nghiệp, tổ chức hoạt động dịch vụ phù hợp với chức năng, nhiệm vụ. Riêng các đơn vị sự nghiệp công tự bảo đảm chi thường xuyên và chi đầu tư được vay vốn, huy động vốn để đầu tư, xây dựng cơ sở vật chất theo quy định tại Điểm a Khoản 2 Điều 12 Nghị định này. Khi thực hiện vay vốn, huy động vốn, đơn vị sự nghiệp công phải có phương án tài chính khả thi, tự chịu trách nhiệm trả nợ vay, lãi vay theo quy định; chịu trách nhiệm trước pháp luật về hiệu quả của việc vay vốn, huy động vốn.</w:t>
      </w:r>
    </w:p>
    <w:p w:rsidR="00FA7F04" w:rsidRDefault="00FA7F04" w:rsidP="00FA7F04">
      <w:pPr>
        <w:shd w:val="clear" w:color="auto" w:fill="FFFFFF"/>
        <w:spacing w:after="0" w:line="234" w:lineRule="atLeast"/>
        <w:jc w:val="both"/>
        <w:rPr>
          <w:rFonts w:ascii="Arial" w:eastAsia="Times New Roman" w:hAnsi="Arial" w:cs="Arial"/>
          <w:b/>
          <w:bCs/>
          <w:color w:val="000000"/>
        </w:rPr>
      </w:pPr>
      <w:bookmarkStart w:id="26" w:name="dieu_17"/>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17. Nghĩa vụ tài chính, quản lý tài sản Nhà nước và quy chế chi tiêu nội bộ của đơn vị sự nghiệp công</w:t>
      </w:r>
      <w:bookmarkEnd w:id="26"/>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Đơn vị sự nghiệp công có hoạt động dịch vụ thực hiện đăng ký, kê khai, nộp đủ thuế và các khoản thu ngân sách khác (nếu có) theo quy định của pháp luật.</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lastRenderedPageBreak/>
        <w:t>2. Đơn vị sự nghiệp công có trách nhiệm quản lý, sử dụng tài sản nhà nước theo quy định của pháp luật về quản lý, sử dụng tài sản nhà nước.</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Đơn vị sự nghiệp công có trách nhiệm xây dựng và ban hành Quy chế chi tiêu nội bộ, gửi cơ quan quản lý cấp trên. Trong thời hạn 15 ngày kể từ ngày nhận được Quy chế, trường hợp Quy chế có quy định không phù hợp với quy định của Nhà nước, cơ quan quản lý cấp trên có ý kiến bằng văn bản yêu cầu đơn vị điều chỉnh lại cho phù hợp.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Sau thời hạn nêu trên, nếu cơ quan quản lý cấp trên không có ý kiến, đơn vị triển khai thực hiện theo Quy chế, đồng thời gửi cơ quan tài chính cùng cấp để theo dõi, giám sát thực hiện, Kho bạc Nhà nước nơi đơn vị mở tài khoản giao dịch để làm căn cứ kiểm soát chi.</w:t>
      </w:r>
    </w:p>
    <w:p w:rsidR="00FA7F04" w:rsidRDefault="00FA7F04" w:rsidP="00FA7F04">
      <w:pPr>
        <w:shd w:val="clear" w:color="auto" w:fill="FFFFFF"/>
        <w:spacing w:after="0" w:line="234" w:lineRule="atLeast"/>
        <w:jc w:val="both"/>
        <w:rPr>
          <w:rFonts w:ascii="Arial" w:eastAsia="Times New Roman" w:hAnsi="Arial" w:cs="Arial"/>
          <w:b/>
          <w:bCs/>
          <w:color w:val="000000"/>
        </w:rPr>
      </w:pPr>
      <w:bookmarkStart w:id="27" w:name="muc_4"/>
    </w:p>
    <w:p w:rsidR="00FA7F04" w:rsidRPr="00FA7F04" w:rsidRDefault="00FA7F04" w:rsidP="00FA7F04">
      <w:pPr>
        <w:shd w:val="clear" w:color="auto" w:fill="FFFFFF"/>
        <w:spacing w:after="0" w:line="234" w:lineRule="atLeast"/>
        <w:jc w:val="center"/>
        <w:rPr>
          <w:rFonts w:ascii="Arial" w:eastAsia="Times New Roman" w:hAnsi="Arial" w:cs="Arial"/>
          <w:color w:val="000000"/>
        </w:rPr>
      </w:pPr>
      <w:r w:rsidRPr="00FA7F04">
        <w:rPr>
          <w:rFonts w:ascii="Arial" w:eastAsia="Times New Roman" w:hAnsi="Arial" w:cs="Arial"/>
          <w:b/>
          <w:bCs/>
          <w:color w:val="000000"/>
        </w:rPr>
        <w:t>Mục 4: LẬP, CHẤP HÀNH DỰ TOÁN THU, CHI</w:t>
      </w:r>
      <w:bookmarkEnd w:id="27"/>
    </w:p>
    <w:p w:rsidR="00FA7F04" w:rsidRPr="00FA7F04" w:rsidRDefault="00FA7F04" w:rsidP="00FA7F04">
      <w:pPr>
        <w:shd w:val="clear" w:color="auto" w:fill="FFFFFF"/>
        <w:spacing w:after="0" w:line="234" w:lineRule="atLeast"/>
        <w:rPr>
          <w:rFonts w:ascii="Arial" w:eastAsia="Times New Roman" w:hAnsi="Arial" w:cs="Arial"/>
          <w:color w:val="000000"/>
        </w:rPr>
      </w:pPr>
      <w:bookmarkStart w:id="28" w:name="dieu_18"/>
      <w:r w:rsidRPr="00FA7F04">
        <w:rPr>
          <w:rFonts w:ascii="Arial" w:eastAsia="Times New Roman" w:hAnsi="Arial" w:cs="Arial"/>
          <w:b/>
          <w:bCs/>
          <w:color w:val="000000"/>
        </w:rPr>
        <w:t>Điều 18. Lập dự toán</w:t>
      </w:r>
      <w:bookmarkEnd w:id="28"/>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Lập dự toán đối với đơn vị sự nghiệp công tự bảo đảm chi thường xuyên và chi đầu tư; đơn vị sự nghiệp công tự bảo đảm chi thường xuyên</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Hàng năm căn cứ vào kết quả thực hiện về số lượng, khối lượng dịch vụ; tình hình thu, chi hoạt động cung cấp dịch vụ sự nghiệp công và các dịch vụ khác của năm hiện hành; yêu cầu nhiệm vụ của năm kế hoạch, đơn vị lập kế hoạch về số lượng, khối lượng dịch vụ và dự toán thu, chi báo cáo cơ quan quản lý cấp trên;</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Đối với dịch vụ sự nghiệp công do Nhà nước đặt hàng: Hàng năm căn cứ đơn giá, số lượng, khối lượng dịch vụ sự nghiệp công được đặt hàng theo hướng dẫn của Bộ, cơ quan Trung ương, Ủy ban nhân dân cấp tỉnh, đơn vị lập dự toán gửi cơ quan quản lý cấp trên theo quy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Lập dự toán đối với đơn vị sự nghiệp công tự bảo đảm một phần chi thường xuyên (do giá, phí dịch vụ sự nghiệp công chưa kết cấu đủ chi phí, được Nhà nước đặt hàng, giao nhiệm vụ cung cấp dịch vụ sự nghiệp công theo giá, phí chưa tính đủ chi phí): Căn cứ tình hình thực hiện năm hiện hành, nhiệm vụ của năm kế hoạch, đơn vị lập kế hoạch về số lượng, khối lượng dịch vụ sự nghiệp công và dự toán thu, chi (bao gồm cả phần kinh phí ngân sách nhà nước hỗ trợ do giá, phí dịch vụ sự nghiệp công chưa kết cấu đủ chi phí) báo cáo cơ quan quản lý cấp trên theo quy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Lập dự toán đối với đơn vị sự nghiệp công do Nhà nước bảo đảm chi thường xuyên (theo chức năng, nhiệm vụ được cấp có thẩm quyền giao, không có nguồn thu hoặc nguồn thu thấp): Căn cứ tình hình thực hiện năm hiện hành, nhiệm vụ được cấp có thẩm quyền giao trong năm kế hoạch, số lượng người làm việc được cấp có thẩm quyền phê duyệt, chế độ chi tiêu hiện hành, đơn vị lập dự toán thu, chi gửi cơ quan quản lý cấp trên theo quy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4. Lập dự toán thu, chi phí theo pháp luật về phí, lệ phí, các nhiệm vụ không thường xuyên theo quy định của Luật Ngân sách nhà nước.</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5. Hàng năm, căn cứ vào dự toán thu, chi do đơn vị sự nghiệp công xây dựng, cơ quan quản lý cấp trên có trách nhiệm xem xét, tổng hợp dự toán thu, chi của đơn vị gửi cơ quan tài chính và cơ quan có liên quan theo quy định của Luật Ngân sách nhà nước.</w:t>
      </w:r>
    </w:p>
    <w:p w:rsidR="00FA7F04" w:rsidRDefault="00FA7F04" w:rsidP="00FA7F04">
      <w:pPr>
        <w:shd w:val="clear" w:color="auto" w:fill="FFFFFF"/>
        <w:spacing w:after="0" w:line="234" w:lineRule="atLeast"/>
        <w:rPr>
          <w:rFonts w:ascii="Arial" w:eastAsia="Times New Roman" w:hAnsi="Arial" w:cs="Arial"/>
          <w:b/>
          <w:bCs/>
          <w:color w:val="000000"/>
        </w:rPr>
      </w:pPr>
      <w:bookmarkStart w:id="29" w:name="dieu_19"/>
    </w:p>
    <w:p w:rsidR="00FA7F04" w:rsidRPr="00FA7F04" w:rsidRDefault="00FA7F04" w:rsidP="00FA7F04">
      <w:pPr>
        <w:shd w:val="clear" w:color="auto" w:fill="FFFFFF"/>
        <w:spacing w:after="0" w:line="234" w:lineRule="atLeast"/>
        <w:rPr>
          <w:rFonts w:ascii="Arial" w:eastAsia="Times New Roman" w:hAnsi="Arial" w:cs="Arial"/>
          <w:color w:val="000000"/>
        </w:rPr>
      </w:pPr>
      <w:r w:rsidRPr="00FA7F04">
        <w:rPr>
          <w:rFonts w:ascii="Arial" w:eastAsia="Times New Roman" w:hAnsi="Arial" w:cs="Arial"/>
          <w:b/>
          <w:bCs/>
          <w:color w:val="000000"/>
        </w:rPr>
        <w:t>Điều 19. Phân bổ và giao dự toán</w:t>
      </w:r>
      <w:bookmarkEnd w:id="29"/>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Việc phân bổ và giao dự toán của cơ quan quản lý cấp trên cho đơn vị sự nghiệp công thực hiện theo quy định của Luật Ngân sách nhà nước.</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Căn cứ lộ trình tính giá dịch vụ sự nghiệp công quy định tại Khoản 1 Điều 10 Nghị định này, cơ quan quản lý cấp trên thực hiện đặt hàng đối với đơn vị sự nghiệp công tự bảo đảm chi thường xuyên và chi đầu tư và đơn vị sự nghiệp công tự bảo đảm chi thường xuyên; đặt hàng, giao kinh phí hỗ trợ từ ngân sách nhà nước đối với đơn vị sự nghiệp công tự bảo đảm một phần chi thường xuyên (do giá, phí dịch vụ sự nghiệp công chưa kết cấu đủ chi phí, được Nhà nước đặt hàng, giao nhiệm vụ cung cấp dịch vụ sự nghiệp công theo giá, phí chưa tính đủ chi phí).</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Đối với đơn vị sự nghiệp công do Nhà nước bảo đảm chi thường xuyên (theo chức năng, nhiệm vụ được cấp có thẩm quyền giao, không có nguồn thu hoặc nguồn thu thấp): Cơ quan quản lý cấp trên thực hiện giao dự toán ổn định trong thời gian 3 năm và được điều chỉnh khi Nhà nước thay đổi nhiệm vụ, cơ chế chính sách theo quy định.</w:t>
      </w:r>
    </w:p>
    <w:p w:rsidR="00FA7F04" w:rsidRDefault="00FA7F04" w:rsidP="00FA7F04">
      <w:pPr>
        <w:shd w:val="clear" w:color="auto" w:fill="FFFFFF"/>
        <w:spacing w:after="0" w:line="234" w:lineRule="atLeast"/>
        <w:jc w:val="center"/>
        <w:rPr>
          <w:rFonts w:ascii="Arial" w:eastAsia="Times New Roman" w:hAnsi="Arial" w:cs="Arial"/>
          <w:b/>
          <w:bCs/>
          <w:color w:val="000000"/>
        </w:rPr>
      </w:pPr>
      <w:bookmarkStart w:id="30" w:name="chuong_3"/>
    </w:p>
    <w:p w:rsidR="00FA7F04" w:rsidRDefault="00FA7F04" w:rsidP="00FA7F04">
      <w:pPr>
        <w:shd w:val="clear" w:color="auto" w:fill="FFFFFF"/>
        <w:spacing w:after="0" w:line="234" w:lineRule="atLeast"/>
        <w:jc w:val="center"/>
        <w:rPr>
          <w:rFonts w:ascii="Arial" w:eastAsia="Times New Roman" w:hAnsi="Arial" w:cs="Arial"/>
          <w:b/>
          <w:bCs/>
          <w:color w:val="000000"/>
        </w:rPr>
      </w:pPr>
    </w:p>
    <w:p w:rsidR="00FA7F04" w:rsidRDefault="00FA7F04" w:rsidP="00FA7F04">
      <w:pPr>
        <w:shd w:val="clear" w:color="auto" w:fill="FFFFFF"/>
        <w:spacing w:after="0" w:line="234" w:lineRule="atLeast"/>
        <w:jc w:val="center"/>
        <w:rPr>
          <w:rFonts w:ascii="Arial" w:eastAsia="Times New Roman" w:hAnsi="Arial" w:cs="Arial"/>
          <w:b/>
          <w:bCs/>
          <w:color w:val="000000"/>
        </w:rPr>
      </w:pPr>
    </w:p>
    <w:p w:rsidR="00FA7F04" w:rsidRDefault="00FA7F04" w:rsidP="00FA7F04">
      <w:pPr>
        <w:shd w:val="clear" w:color="auto" w:fill="FFFFFF"/>
        <w:spacing w:after="0" w:line="234" w:lineRule="atLeast"/>
        <w:jc w:val="center"/>
        <w:rPr>
          <w:rFonts w:ascii="Arial" w:eastAsia="Times New Roman" w:hAnsi="Arial" w:cs="Arial"/>
          <w:b/>
          <w:bCs/>
          <w:color w:val="000000"/>
        </w:rPr>
      </w:pPr>
    </w:p>
    <w:p w:rsidR="00FA7F04" w:rsidRPr="00FA7F04" w:rsidRDefault="00FA7F04" w:rsidP="00FA7F04">
      <w:pPr>
        <w:shd w:val="clear" w:color="auto" w:fill="FFFFFF"/>
        <w:spacing w:after="0" w:line="234" w:lineRule="atLeast"/>
        <w:jc w:val="center"/>
        <w:rPr>
          <w:rFonts w:ascii="Arial" w:eastAsia="Times New Roman" w:hAnsi="Arial" w:cs="Arial"/>
          <w:color w:val="000000"/>
        </w:rPr>
      </w:pPr>
      <w:r w:rsidRPr="00FA7F04">
        <w:rPr>
          <w:rFonts w:ascii="Arial" w:eastAsia="Times New Roman" w:hAnsi="Arial" w:cs="Arial"/>
          <w:b/>
          <w:bCs/>
          <w:color w:val="000000"/>
        </w:rPr>
        <w:lastRenderedPageBreak/>
        <w:t>Chương III</w:t>
      </w:r>
      <w:bookmarkEnd w:id="30"/>
    </w:p>
    <w:p w:rsidR="00FA7F04" w:rsidRPr="00FA7F04" w:rsidRDefault="00FA7F04" w:rsidP="00FA7F04">
      <w:pPr>
        <w:shd w:val="clear" w:color="auto" w:fill="FFFFFF"/>
        <w:spacing w:after="0" w:line="234" w:lineRule="atLeast"/>
        <w:jc w:val="center"/>
        <w:rPr>
          <w:rFonts w:ascii="Arial" w:eastAsia="Times New Roman" w:hAnsi="Arial" w:cs="Arial"/>
          <w:color w:val="000000"/>
        </w:rPr>
      </w:pPr>
      <w:bookmarkStart w:id="31" w:name="chuong_3_name"/>
      <w:r w:rsidRPr="00FA7F04">
        <w:rPr>
          <w:rFonts w:ascii="Arial" w:eastAsia="Times New Roman" w:hAnsi="Arial" w:cs="Arial"/>
          <w:b/>
          <w:bCs/>
          <w:color w:val="000000"/>
        </w:rPr>
        <w:t>TỔ CHỨC THỰC HIỆN</w:t>
      </w:r>
      <w:bookmarkEnd w:id="31"/>
    </w:p>
    <w:p w:rsidR="00FA7F04" w:rsidRPr="00FA7F04" w:rsidRDefault="00FA7F04" w:rsidP="00FA7F04">
      <w:pPr>
        <w:shd w:val="clear" w:color="auto" w:fill="FFFFFF"/>
        <w:spacing w:after="0" w:line="234" w:lineRule="atLeast"/>
        <w:rPr>
          <w:rFonts w:ascii="Arial" w:eastAsia="Times New Roman" w:hAnsi="Arial" w:cs="Arial"/>
          <w:color w:val="000000"/>
        </w:rPr>
      </w:pPr>
      <w:bookmarkStart w:id="32" w:name="dieu_20"/>
      <w:r w:rsidRPr="00FA7F04">
        <w:rPr>
          <w:rFonts w:ascii="Arial" w:eastAsia="Times New Roman" w:hAnsi="Arial" w:cs="Arial"/>
          <w:b/>
          <w:bCs/>
          <w:color w:val="000000"/>
        </w:rPr>
        <w:t>Điều 20. Giao quyền tự chủ cho đơn vị sự nghiệp công</w:t>
      </w:r>
      <w:bookmarkEnd w:id="32"/>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Đơn vị sự nghiệp công xây dựng phương án tự chủ phù hợp với kế hoạch và điều kiện thực tế của đơn vị, báo cáo cơ quan quản lý cấp trên để phê duyệt, sau khi có ý kiến bằng văn bản của cơ quan tài chính cung cấp.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Việc giao quyền tự chủ, tự chịu trách nhiệm cho các đơn vị sự nghiệp công quy định tại Chương II Nghị định này được ổn định trong thời gian 3 năm. Trường hợp nguồn thu, nhiệm vụ của đơn vị có biến động làm thay đổi mức độ tự chủ tài chính, đơn vị báo cáo cơ quan quản lý cấp trên để xem xét điều chỉnh mức độ tự chủ cho đơn vị trước thời hạn.</w:t>
      </w:r>
    </w:p>
    <w:p w:rsidR="00FA7F04" w:rsidRDefault="00FA7F04" w:rsidP="00FA7F04">
      <w:pPr>
        <w:shd w:val="clear" w:color="auto" w:fill="FFFFFF"/>
        <w:spacing w:after="0" w:line="234" w:lineRule="atLeast"/>
        <w:rPr>
          <w:rFonts w:ascii="Arial" w:eastAsia="Times New Roman" w:hAnsi="Arial" w:cs="Arial"/>
          <w:b/>
          <w:bCs/>
          <w:color w:val="000000"/>
        </w:rPr>
      </w:pPr>
      <w:bookmarkStart w:id="33" w:name="dieu_21"/>
    </w:p>
    <w:p w:rsidR="00FA7F04" w:rsidRPr="00FA7F04" w:rsidRDefault="00FA7F04" w:rsidP="00FA7F04">
      <w:pPr>
        <w:shd w:val="clear" w:color="auto" w:fill="FFFFFF"/>
        <w:spacing w:after="0" w:line="234" w:lineRule="atLeast"/>
        <w:jc w:val="both"/>
        <w:rPr>
          <w:rFonts w:ascii="Arial" w:eastAsia="Times New Roman" w:hAnsi="Arial" w:cs="Arial"/>
          <w:color w:val="000000"/>
        </w:rPr>
      </w:pPr>
      <w:r w:rsidRPr="00FA7F04">
        <w:rPr>
          <w:rFonts w:ascii="Arial" w:eastAsia="Times New Roman" w:hAnsi="Arial" w:cs="Arial"/>
          <w:b/>
          <w:bCs/>
          <w:color w:val="000000"/>
        </w:rPr>
        <w:t>Điều 21. Điều kiện, nội dung, yêu cầu để đơn vị sự nghiệp công vận dụng cơ chế tài chính như doanh nghiệp</w:t>
      </w:r>
      <w:bookmarkEnd w:id="33"/>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Đơn vị sự nghiệp công tự bảo đảm chi thường xuyên và chi đầu tư được vận dụng cơ chế tài chính như doanh nghiệp (công ty trách nhiệm hữu hạn một thành viên do Nhà nước nắm giữ 100% vốn điều lệ), khi đáp ứng đủ các điều kiện sau:</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Hoạt động dịch vụ sự nghiệp công có điều kiện xã hội hóa cao, Nhà nước không bao cấp;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Giá dịch vụ sự nghiệp công tính đủ chi phí (bao gồm cả trích khấu hao tài sản cố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c) Được Nhà nước xác định giá trị tài sản và giao vốn cho đơn vị quản lý theo quy định của pháp luật về quản lý, sử dụng tài sản nhà nước;</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d) Hạch toán kế toán theo quy định của các chuẩn mực kế toán áp dụng cho doanh nghiệp.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Nội dung được vận dụng cơ chế tài chính như doanh nghiệp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Được xác định vốn điều lệ và bảo toàn vốn;</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Được vay vốn, huy động vốn, đầu tư vốn ra ngoài đơn vị theo quy định của pháp luật;</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c) Quản lý, sử dụng, trích khấu hao tài sản cố định theo quy định áp dụng cho doanh nghiệp;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d) Quản lý doanh thu, chi phí và phân phối lợi nhuận; thực hiện chế độ kế toán, thống kê áp dụng như doanh nghiệp.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Đơn vị sự nghiệp công đáp ứng đủ các điều kiện tại Khoản 1 Điều này, xây dựng Đề án vận dụng cơ chế tài chính như doanh nghiệp, báo cáo các Bộ, cơ quan Trung ương, địa phương để phê duyệt theo phân cấp.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Chi phí xây dựng Đề án và các chi phí khác có liên quan trực tiếp đến việc vận dụng cơ chế tài chính như doanh nghiệp được ngân sách nhà nước đảm bảo theo phân cấp.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4. Các Bộ, cơ quan Trung ương xem xét quyết định đơn vị sự nghiệp công trực thuộc được vận dụng cơ chế tài chính như doanh nghiệp, sau khi có ý kiến bằng văn bản của Bộ Tài chính, Ủy ban nhân dân cấp tỉnh (hoặc cơ quan cấp dưới theo phân cấp) xem xét quyết định đơn vị sự nghiệp công trực thuộc được vận dụng cơ chế tài chính như doanh nghiệp, sau khi có ý kiến bằng văn bản của cơ quan tài chính địa phương.</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Căn cứ quy định tại Khoản 1 Điều này, các Bộ, cơ quan Trung ương, Ủy ban nhân dân cấp tỉnh trong phạm vi thẩm quyền chỉ đạo các đơn vị sự nghiệp công rà soát, xây dựng lộ trình để đơn vị sự nghiệp công đủ điều kiện được vận dụng cơ chế tài chính như doanh nghiệp.</w:t>
      </w:r>
    </w:p>
    <w:p w:rsidR="00FA7F04" w:rsidRDefault="00FA7F04" w:rsidP="00FA7F04">
      <w:pPr>
        <w:shd w:val="clear" w:color="auto" w:fill="FFFFFF"/>
        <w:spacing w:after="0" w:line="234" w:lineRule="atLeast"/>
        <w:rPr>
          <w:rFonts w:ascii="Arial" w:eastAsia="Times New Roman" w:hAnsi="Arial" w:cs="Arial"/>
          <w:b/>
          <w:bCs/>
          <w:color w:val="000000"/>
        </w:rPr>
      </w:pPr>
      <w:bookmarkStart w:id="34" w:name="dieu_22"/>
    </w:p>
    <w:p w:rsidR="00FA7F04" w:rsidRPr="00FA7F04" w:rsidRDefault="00FA7F04" w:rsidP="00FA7F04">
      <w:pPr>
        <w:shd w:val="clear" w:color="auto" w:fill="FFFFFF"/>
        <w:spacing w:after="0" w:line="234" w:lineRule="atLeast"/>
        <w:jc w:val="both"/>
        <w:rPr>
          <w:rFonts w:ascii="Arial" w:eastAsia="Times New Roman" w:hAnsi="Arial" w:cs="Arial"/>
          <w:color w:val="000000"/>
        </w:rPr>
      </w:pPr>
      <w:r w:rsidRPr="00FA7F04">
        <w:rPr>
          <w:rFonts w:ascii="Arial" w:eastAsia="Times New Roman" w:hAnsi="Arial" w:cs="Arial"/>
          <w:b/>
          <w:bCs/>
          <w:color w:val="000000"/>
        </w:rPr>
        <w:t>Điều 22. Trách nhiệm của các Bộ, cơ quan Trung ương, Ủy ban nhân dân cấp tỉnh</w:t>
      </w:r>
      <w:bookmarkEnd w:id="34"/>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Căn cứ các quy định tại Nghị định này:</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Các Bộ: Giáo dục và Đào tạo, Lao động - Thương binh và Xã hội, Văn hóa, Thể thao và Du lịch, Thông tin và Truyền thông, Y tế, Khoa học và Công nghệ chủ trì, phối hợp với Bộ Tài chính, Bộ Nội vụ và các Bộ, cơ quan liên quan xây dựng và trình Chính phủ sửa đổi, ban hành Nghị định quy định cơ chế tự chủ của đơn vị sự nghiệp công trong từng lĩnh vực.</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Bộ Tài chính chủ trì, phối hợp với Bộ Nội vụ và các Bộ, cơ quan liên quan xây dựng và trình Chính phủ ban hành Nghị định quy định cơ chế tự chủ của đơn vị sự nghiệp công lập trong lĩnh vực sự nghiệp kinh tế và sự nghiệp khác.</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lastRenderedPageBreak/>
        <w:t>2. Các Bộ, cơ quan Trung ương, Ủy ban nhân dân cấp tỉnh, căn cứ phạm vi quản lý, chức năng, nhiệm vụ theo thẩm quyền được giao rà soát, sửa đổi, bổ sung hoặc ban hành mới các tiêu chí, tiêu chuẩn chất lượng, cơ chế giám sát, đánh giá, kiểm định chất lượng dịch vụ sự nghiệp công; hiệu quả hoạt động của đơn vị sự nghiệp công; thực hiện thanh tra, kiểm tra, xử phạt vi phạm trong hoạt động cung ứng dịch vụ sự nghiệp công và tổ chức thực hiện các nội dung khác về trách nhiệm quản lý nhà nước đối với dịch vụ sự nghiệp công và đơn vị sự nghiệp công quy định tại Điều 4 Nghị định này.</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Trong năm 2015, Bộ trưởng, Thủ trưởng cơ quan Trung ương có trách nhiệm:</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a) Trình Thủ tướng Chính phủ ban hành Quy hoạch mạng lưới các đơn vị sự nghiệp công theo ngành, lĩnh vực; danh mục dịch vụ sự nghiệp công sử dụng ngân sách nhà nước thuộc lĩnh vực quản lý;</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b) Ban hành theo thẩm quyền định mức kinh tế - kỹ thuật áp dụng trong các lĩnh vực dịch vụ sự nghiệp công do Nhà nước quản lý, làm cơ sở ban hành giá dịch vụ sự nghiệp công tính đủ chi phí và các quy định tại Điều 4 Nghị định này.</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4. Trong năm 2015, Bộ Nội vụ có trách nhiệm hướng dẫn về thành lập và hoạt động của Hội đồng quản lý; hướng dẫn nguyên tắc, phương pháp xác định vị trí việc làm; thẩm quyền, trình tự, thủ tục quyết định số lượng vị trí việc làm; hướng dẫn các đơn vị sự nghiệp công chưa xây dựng được vị trí việc làm và cơ cấu viên chức theo chức danh nghề nghiệp xác định số lượng người làm việc trên cơ sở định biên bình quân các năm trước.</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5. Bộ Tài chính có trách nhiệm thay đổi phương thức bố trí dự toán ngân sách cho các đơn vị sự nghiệp công phù hợp với cơ chế tự chủ tài chính quy định tại Nghị định này.</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6. Chủ tịch Ủy ban nhân dân cấp tỉnh trong phạm vi thẩm quyền có trách nhiệm ban hành trong năm 2015: Quy hoạch mạng lưới các đơn vị sự nghiệp công trong từng lĩnh vực; danh mục dịch vụ sự nghiệp công sử dụng ngân sách nhà nước; định mức kinh tế - kỹ thuật áp dụng trong các lĩnh vực dịch vụ sự nghiệp công, làm cơ sở ban hành giá dịch vụ sự nghiệp công tính đủ chi phí và các quy định tại Điều 4 Nghị định này.</w:t>
      </w:r>
    </w:p>
    <w:p w:rsidR="00FA7F04" w:rsidRDefault="00FA7F04" w:rsidP="00FA7F04">
      <w:pPr>
        <w:shd w:val="clear" w:color="auto" w:fill="FFFFFF"/>
        <w:spacing w:after="0" w:line="234" w:lineRule="atLeast"/>
        <w:jc w:val="both"/>
        <w:rPr>
          <w:rFonts w:ascii="Arial" w:eastAsia="Times New Roman" w:hAnsi="Arial" w:cs="Arial"/>
          <w:b/>
          <w:bCs/>
          <w:color w:val="000000"/>
        </w:rPr>
      </w:pPr>
      <w:bookmarkStart w:id="35" w:name="dieu_23"/>
    </w:p>
    <w:p w:rsidR="00FA7F04" w:rsidRPr="00FA7F04" w:rsidRDefault="00FA7F04" w:rsidP="00FA7F04">
      <w:pPr>
        <w:shd w:val="clear" w:color="auto" w:fill="FFFFFF"/>
        <w:spacing w:after="0" w:line="234" w:lineRule="atLeast"/>
        <w:jc w:val="both"/>
        <w:rPr>
          <w:rFonts w:ascii="Arial" w:eastAsia="Times New Roman" w:hAnsi="Arial" w:cs="Arial"/>
          <w:color w:val="000000"/>
        </w:rPr>
      </w:pPr>
      <w:r w:rsidRPr="00FA7F04">
        <w:rPr>
          <w:rFonts w:ascii="Arial" w:eastAsia="Times New Roman" w:hAnsi="Arial" w:cs="Arial"/>
          <w:b/>
          <w:bCs/>
          <w:color w:val="000000"/>
        </w:rPr>
        <w:t>Điều 23. Trách nhiệm của Thủ trưởng đơn vị sự nghiệp công</w:t>
      </w:r>
      <w:bookmarkEnd w:id="35"/>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1. Chịu trách nhiệm trước cơ quan quản lý cấp trên trực tiếp và trước pháp luật đối với các quyết định thực hiện quyền tự chủ về nhiệm vụ, tổ chức bộ máy, nhân sự và tài chính của đơn vị.</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2. Bảo đảm chất lượng dịch vụ sự nghiệp công theo các tiêu chí, tiêu chuẩn do cơ quan nhà nước có thẩm quyền quy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Xây dựng và tổ chức thực hiện quy chế chi tiêu nội bộ, quy chế sử dụng tài sản, quy chế dân chủ cơ sở, quy chế công khai tài chính, kiểm toán nội bộ theo quy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4. Tổ chức, thực hiện quản lý, sử dụng viên chức theo quy định của pháp luật về viên chức.</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5. Quản lý, bảo toàn và phát triển vốn, tài sản của Nhà nước giao, thực hiện chế độ hạch toán kế toán, thống kê, thông tin, báo cáo hoạt động, kiểm toán theo quy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6. Trình cơ quan có thẩm quyền quyết định thành lập và quy định chức năng, nhiệm vụ, quyền hạn, cơ cấu tổ chức của Hội đồng quản lý theo quy định.</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7. Thực hiện quy định công khai, trách nhiệm giải trình hoạt động của đơn vị theo quy định của pháp luật.</w:t>
      </w:r>
    </w:p>
    <w:p w:rsidR="00FA7F04" w:rsidRDefault="00FA7F04" w:rsidP="00FA7F04">
      <w:pPr>
        <w:shd w:val="clear" w:color="auto" w:fill="FFFFFF"/>
        <w:spacing w:after="0" w:line="234" w:lineRule="atLeast"/>
        <w:jc w:val="both"/>
        <w:rPr>
          <w:rFonts w:ascii="Arial" w:eastAsia="Times New Roman" w:hAnsi="Arial" w:cs="Arial"/>
          <w:b/>
          <w:bCs/>
          <w:color w:val="000000"/>
        </w:rPr>
      </w:pPr>
      <w:bookmarkStart w:id="36" w:name="dieu_24"/>
    </w:p>
    <w:p w:rsidR="00FA7F04" w:rsidRPr="00FA7F04" w:rsidRDefault="00FA7F04" w:rsidP="00FA7F04">
      <w:pPr>
        <w:shd w:val="clear" w:color="auto" w:fill="FFFFFF"/>
        <w:spacing w:after="0" w:line="234" w:lineRule="atLeast"/>
        <w:jc w:val="both"/>
        <w:rPr>
          <w:rFonts w:ascii="Arial" w:eastAsia="Times New Roman" w:hAnsi="Arial" w:cs="Arial"/>
          <w:color w:val="000000"/>
        </w:rPr>
      </w:pPr>
      <w:r w:rsidRPr="00FA7F04">
        <w:rPr>
          <w:rFonts w:ascii="Arial" w:eastAsia="Times New Roman" w:hAnsi="Arial" w:cs="Arial"/>
          <w:b/>
          <w:bCs/>
          <w:color w:val="000000"/>
        </w:rPr>
        <w:t>Điều 24. Hiệu lực thi hành</w:t>
      </w:r>
      <w:bookmarkEnd w:id="36"/>
    </w:p>
    <w:p w:rsidR="00FA7F04" w:rsidRPr="00FA7F04" w:rsidRDefault="00FA7F04" w:rsidP="00FA7F04">
      <w:pPr>
        <w:shd w:val="clear" w:color="auto" w:fill="FFFFFF"/>
        <w:spacing w:after="0" w:line="234" w:lineRule="atLeast"/>
        <w:jc w:val="both"/>
        <w:rPr>
          <w:rFonts w:ascii="Arial" w:eastAsia="Times New Roman" w:hAnsi="Arial" w:cs="Arial"/>
          <w:color w:val="000000"/>
        </w:rPr>
      </w:pPr>
      <w:r w:rsidRPr="00FA7F04">
        <w:rPr>
          <w:rFonts w:ascii="Arial" w:eastAsia="Times New Roman" w:hAnsi="Arial" w:cs="Arial"/>
          <w:color w:val="000000"/>
        </w:rPr>
        <w:t>1. Nghị định này có hiệu lực thi hành kể từ ngày 06 tháng 4 năm 2015 và thay thế Nghị định số</w:t>
      </w:r>
      <w:r>
        <w:rPr>
          <w:rFonts w:ascii="Arial" w:eastAsia="Times New Roman" w:hAnsi="Arial" w:cs="Arial"/>
          <w:color w:val="000000"/>
        </w:rPr>
        <w:t xml:space="preserve"> </w:t>
      </w:r>
      <w:hyperlink r:id="rId4" w:tgtFrame="_blank" w:history="1">
        <w:r w:rsidRPr="00FA7F04">
          <w:rPr>
            <w:rFonts w:ascii="Arial" w:eastAsia="Times New Roman" w:hAnsi="Arial" w:cs="Arial"/>
            <w:color w:val="0E70C3"/>
          </w:rPr>
          <w:t>43/2006/NĐ-CP ngày 25 tháng 4 năm 2006 </w:t>
        </w:r>
      </w:hyperlink>
      <w:r w:rsidRPr="00FA7F04">
        <w:rPr>
          <w:rFonts w:ascii="Arial" w:eastAsia="Times New Roman" w:hAnsi="Arial" w:cs="Arial"/>
          <w:color w:val="000000"/>
        </w:rPr>
        <w:t>của Chính phủ quy định quyền tự chủ, tự chịu trách nhiệm về thực hiện nhiệm vụ, tổ chức bộ máy, biên chế và tài chính đối với đơn vị sự nghiệp công lập; làm cơ sở để xây dựng Nghị định quy định cơ chế tự chủ của đơn vị sự nghiệp trong từng lĩnh vực.</w:t>
      </w:r>
    </w:p>
    <w:p w:rsidR="00FA7F04" w:rsidRPr="00FA7F04" w:rsidRDefault="00FA7F04" w:rsidP="00FA7F04">
      <w:pPr>
        <w:shd w:val="clear" w:color="auto" w:fill="FFFFFF"/>
        <w:spacing w:after="0" w:line="234" w:lineRule="atLeast"/>
        <w:jc w:val="both"/>
        <w:rPr>
          <w:rFonts w:ascii="Arial" w:eastAsia="Times New Roman" w:hAnsi="Arial" w:cs="Arial"/>
          <w:color w:val="000000"/>
        </w:rPr>
      </w:pPr>
      <w:r w:rsidRPr="00FA7F04">
        <w:rPr>
          <w:rFonts w:ascii="Arial" w:eastAsia="Times New Roman" w:hAnsi="Arial" w:cs="Arial"/>
          <w:color w:val="000000"/>
        </w:rPr>
        <w:t xml:space="preserve">2. Trong khi chưa ban hành hoặc sửa đổi Nghị định quy định cơ chế tự chủ của đơn vị sự nghiệp công trong từng lĩnh vực cụ thể theo quy định tại Khoản 1 Điều này, các đơn vị sự nghiệp công theo từng lĩnh vực được tiếp tục thực hiện cơ chế tự chủ theo quy định tại Nghị định số </w:t>
      </w:r>
      <w:hyperlink r:id="rId5" w:tgtFrame="_blank" w:history="1">
        <w:r w:rsidRPr="00FA7F04">
          <w:rPr>
            <w:rFonts w:ascii="Arial" w:eastAsia="Times New Roman" w:hAnsi="Arial" w:cs="Arial"/>
            <w:color w:val="0E70C3"/>
          </w:rPr>
          <w:t>43/2006/NĐ-CP ngày 25 tháng 4 năm 2006 </w:t>
        </w:r>
      </w:hyperlink>
      <w:r w:rsidRPr="00FA7F04">
        <w:rPr>
          <w:rFonts w:ascii="Arial" w:eastAsia="Times New Roman" w:hAnsi="Arial" w:cs="Arial"/>
          <w:color w:val="000000"/>
        </w:rPr>
        <w:t>của Chính phủ quy định quyền tự chủ, tự chịu trách nhiệm về thực hiện nhiệm vụ, tổ chức bộ máy, biên chế và tài chính đối với đơn vị sự nghiệp công lập; Nghị định số </w:t>
      </w:r>
      <w:hyperlink r:id="rId6" w:tgtFrame="_blank" w:history="1">
        <w:r w:rsidRPr="00FA7F04">
          <w:rPr>
            <w:rFonts w:ascii="Arial" w:eastAsia="Times New Roman" w:hAnsi="Arial" w:cs="Arial"/>
            <w:color w:val="0E70C3"/>
          </w:rPr>
          <w:t>115/2005/NĐ-CP ngày 05 tháng 9 năm 2005 </w:t>
        </w:r>
      </w:hyperlink>
      <w:r w:rsidRPr="00FA7F04">
        <w:rPr>
          <w:rFonts w:ascii="Arial" w:eastAsia="Times New Roman" w:hAnsi="Arial" w:cs="Arial"/>
          <w:color w:val="000000"/>
        </w:rPr>
        <w:t xml:space="preserve">của Chính phủ quy định cơ chế tự chủ, tự chịu </w:t>
      </w:r>
      <w:r w:rsidRPr="00FA7F04">
        <w:rPr>
          <w:rFonts w:ascii="Arial" w:eastAsia="Times New Roman" w:hAnsi="Arial" w:cs="Arial"/>
          <w:color w:val="000000"/>
        </w:rPr>
        <w:lastRenderedPageBreak/>
        <w:t>trách nhiệm của tổ chức khoa học và công nghệ công lập và Nghị định số</w:t>
      </w:r>
      <w:hyperlink r:id="rId7" w:tgtFrame="_blank" w:history="1">
        <w:r w:rsidRPr="00FA7F04">
          <w:rPr>
            <w:rFonts w:ascii="Arial" w:eastAsia="Times New Roman" w:hAnsi="Arial" w:cs="Arial"/>
            <w:color w:val="0E70C3"/>
          </w:rPr>
          <w:t>96/2010/NĐ-CP ngày 20 tháng 9 năm 2010 </w:t>
        </w:r>
      </w:hyperlink>
      <w:r w:rsidRPr="00FA7F04">
        <w:rPr>
          <w:rFonts w:ascii="Arial" w:eastAsia="Times New Roman" w:hAnsi="Arial" w:cs="Arial"/>
          <w:color w:val="000000"/>
        </w:rPr>
        <w:t>của Chính phủ sửa đổi, bổ sung một số điều của Nghị định số </w:t>
      </w:r>
      <w:hyperlink r:id="rId8" w:tgtFrame="_blank" w:history="1">
        <w:r w:rsidRPr="00FA7F04">
          <w:rPr>
            <w:rFonts w:ascii="Arial" w:eastAsia="Times New Roman" w:hAnsi="Arial" w:cs="Arial"/>
            <w:color w:val="0E70C3"/>
          </w:rPr>
          <w:t>115/2005/NĐ-CP </w:t>
        </w:r>
      </w:hyperlink>
      <w:r w:rsidRPr="00FA7F04">
        <w:rPr>
          <w:rFonts w:ascii="Arial" w:eastAsia="Times New Roman" w:hAnsi="Arial" w:cs="Arial"/>
          <w:color w:val="000000"/>
        </w:rPr>
        <w:t>của Chính phủ; Nghị định số </w:t>
      </w:r>
      <w:hyperlink r:id="rId9" w:tgtFrame="_blank" w:history="1">
        <w:r w:rsidRPr="00FA7F04">
          <w:rPr>
            <w:rFonts w:ascii="Arial" w:eastAsia="Times New Roman" w:hAnsi="Arial" w:cs="Arial"/>
            <w:color w:val="0E70C3"/>
          </w:rPr>
          <w:t>85/2012/NĐ-CP ngày 15 tháng 10 năm 2012 </w:t>
        </w:r>
      </w:hyperlink>
      <w:r w:rsidRPr="00FA7F04">
        <w:rPr>
          <w:rFonts w:ascii="Arial" w:eastAsia="Times New Roman" w:hAnsi="Arial" w:cs="Arial"/>
          <w:color w:val="000000"/>
        </w:rPr>
        <w:t>của Chính phủ về cơ chế hoạt động, cơ chế tài chính đối với các đơn vị sự nghiệp y tế công lập và giá dịch vụ khám bệnh, chữa bệnh của các cơ sở khám bệnh, chữa bệnh công lập.</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rPr>
      </w:pPr>
      <w:r w:rsidRPr="00FA7F04">
        <w:rPr>
          <w:rFonts w:ascii="Arial" w:eastAsia="Times New Roman" w:hAnsi="Arial" w:cs="Arial"/>
          <w:color w:val="000000"/>
        </w:rPr>
        <w:t>3. Bộ trưởng, Thủ trưởng cơ quan ngang Bộ, Thủ trưởng cơ quan thuộc Chính phủ, Chủ tịch Ủy ban nhân dân tỉnh, thành phố trực thuộc Trung ương chịu trách nhiệm thi hành Nghị định này./.</w:t>
      </w:r>
    </w:p>
    <w:p w:rsidR="00FA7F04" w:rsidRPr="00FA7F04" w:rsidRDefault="00FA7F04" w:rsidP="00FA7F04">
      <w:pPr>
        <w:shd w:val="clear" w:color="auto" w:fill="FFFFFF"/>
        <w:spacing w:before="120" w:after="0" w:line="234" w:lineRule="atLeast"/>
        <w:jc w:val="both"/>
        <w:rPr>
          <w:rFonts w:ascii="Arial" w:eastAsia="Times New Roman" w:hAnsi="Arial" w:cs="Arial"/>
          <w:color w:val="000000"/>
          <w:sz w:val="18"/>
          <w:szCs w:val="18"/>
        </w:rPr>
      </w:pPr>
      <w:r w:rsidRPr="00FA7F04">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tblPr>
      <w:tblGrid>
        <w:gridCol w:w="4452"/>
        <w:gridCol w:w="4073"/>
      </w:tblGrid>
      <w:tr w:rsidR="00FA7F04" w:rsidRPr="00FA7F04" w:rsidTr="00FA7F04">
        <w:trPr>
          <w:tblCellSpacing w:w="0" w:type="dxa"/>
        </w:trPr>
        <w:tc>
          <w:tcPr>
            <w:tcW w:w="4452" w:type="dxa"/>
            <w:shd w:val="clear" w:color="auto" w:fill="FFFFFF"/>
            <w:tcMar>
              <w:top w:w="0" w:type="dxa"/>
              <w:left w:w="108" w:type="dxa"/>
              <w:bottom w:w="0" w:type="dxa"/>
              <w:right w:w="108" w:type="dxa"/>
            </w:tcMar>
            <w:hideMark/>
          </w:tcPr>
          <w:p w:rsidR="00FA7F04" w:rsidRPr="00FA7F04" w:rsidRDefault="00FA7F04" w:rsidP="00FA7F04">
            <w:pPr>
              <w:spacing w:before="120" w:after="0" w:line="234" w:lineRule="atLeast"/>
              <w:rPr>
                <w:rFonts w:ascii="Arial" w:eastAsia="Times New Roman" w:hAnsi="Arial" w:cs="Arial"/>
                <w:color w:val="000000"/>
                <w:sz w:val="18"/>
                <w:szCs w:val="18"/>
              </w:rPr>
            </w:pPr>
            <w:r w:rsidRPr="00FA7F04">
              <w:rPr>
                <w:rFonts w:ascii="Arial" w:eastAsia="Times New Roman" w:hAnsi="Arial" w:cs="Arial"/>
                <w:color w:val="000000"/>
                <w:sz w:val="16"/>
                <w:szCs w:val="16"/>
              </w:rPr>
              <w:t> </w:t>
            </w:r>
          </w:p>
          <w:p w:rsidR="00FA7F04" w:rsidRPr="00FA7F04" w:rsidRDefault="00FA7F04" w:rsidP="00FA7F04">
            <w:pPr>
              <w:spacing w:before="120" w:after="0" w:line="234" w:lineRule="atLeast"/>
              <w:rPr>
                <w:rFonts w:ascii="Arial" w:eastAsia="Times New Roman" w:hAnsi="Arial" w:cs="Arial"/>
                <w:color w:val="000000"/>
                <w:sz w:val="18"/>
                <w:szCs w:val="18"/>
              </w:rPr>
            </w:pPr>
            <w:r w:rsidRPr="00FA7F04">
              <w:rPr>
                <w:rFonts w:ascii="Arial" w:eastAsia="Times New Roman" w:hAnsi="Arial" w:cs="Arial"/>
                <w:b/>
                <w:bCs/>
                <w:i/>
                <w:iCs/>
                <w:color w:val="000000"/>
                <w:sz w:val="18"/>
                <w:szCs w:val="18"/>
              </w:rPr>
              <w:t>Nơi nhận:</w:t>
            </w:r>
            <w:r w:rsidRPr="00FA7F04">
              <w:rPr>
                <w:rFonts w:ascii="Arial" w:eastAsia="Times New Roman" w:hAnsi="Arial" w:cs="Arial"/>
                <w:color w:val="000000"/>
                <w:sz w:val="18"/>
                <w:szCs w:val="18"/>
              </w:rPr>
              <w:br/>
            </w:r>
            <w:r w:rsidRPr="00FA7F04">
              <w:rPr>
                <w:rFonts w:ascii="Arial" w:eastAsia="Times New Roman" w:hAnsi="Arial" w:cs="Arial"/>
                <w:color w:val="000000"/>
                <w:sz w:val="16"/>
                <w:szCs w:val="16"/>
              </w:rPr>
              <w:t>- Ban Bí thư Trung ương Đảng;</w:t>
            </w:r>
            <w:r w:rsidRPr="00FA7F04">
              <w:rPr>
                <w:rFonts w:ascii="Arial" w:eastAsia="Times New Roman" w:hAnsi="Arial" w:cs="Arial"/>
                <w:color w:val="000000"/>
                <w:sz w:val="16"/>
                <w:szCs w:val="16"/>
              </w:rPr>
              <w:br/>
              <w:t>- Thủ tướng, các Phó Thủ tướng Chính phủ;</w:t>
            </w:r>
            <w:r w:rsidRPr="00FA7F04">
              <w:rPr>
                <w:rFonts w:ascii="Arial" w:eastAsia="Times New Roman" w:hAnsi="Arial" w:cs="Arial"/>
                <w:color w:val="000000"/>
                <w:sz w:val="16"/>
                <w:szCs w:val="16"/>
              </w:rPr>
              <w:br/>
              <w:t>- Các Bộ, cơ quan ngang Bộ, cơ quan thuộc Chính phủ;</w:t>
            </w:r>
            <w:r w:rsidRPr="00FA7F04">
              <w:rPr>
                <w:rFonts w:ascii="Arial" w:eastAsia="Times New Roman" w:hAnsi="Arial" w:cs="Arial"/>
                <w:color w:val="000000"/>
                <w:sz w:val="16"/>
                <w:szCs w:val="16"/>
              </w:rPr>
              <w:br/>
              <w:t>- HĐND, UBND các tỉnh, thành phố trực thuộc Trung ương;</w:t>
            </w:r>
            <w:r w:rsidRPr="00FA7F04">
              <w:rPr>
                <w:rFonts w:ascii="Arial" w:eastAsia="Times New Roman" w:hAnsi="Arial" w:cs="Arial"/>
                <w:color w:val="000000"/>
                <w:sz w:val="16"/>
                <w:szCs w:val="16"/>
              </w:rPr>
              <w:br/>
              <w:t>- Văn phòng Trung ương và các Ban của Đảng;</w:t>
            </w:r>
            <w:r w:rsidRPr="00FA7F04">
              <w:rPr>
                <w:rFonts w:ascii="Arial" w:eastAsia="Times New Roman" w:hAnsi="Arial" w:cs="Arial"/>
                <w:color w:val="000000"/>
                <w:sz w:val="16"/>
                <w:szCs w:val="16"/>
              </w:rPr>
              <w:br/>
              <w:t>- Văn phòng Tổng Bí thư;</w:t>
            </w:r>
            <w:r w:rsidRPr="00FA7F04">
              <w:rPr>
                <w:rFonts w:ascii="Arial" w:eastAsia="Times New Roman" w:hAnsi="Arial" w:cs="Arial"/>
                <w:color w:val="000000"/>
                <w:sz w:val="16"/>
                <w:szCs w:val="16"/>
              </w:rPr>
              <w:br/>
              <w:t>- Văn phòng Chủ tịch nước;</w:t>
            </w:r>
            <w:r w:rsidRPr="00FA7F04">
              <w:rPr>
                <w:rFonts w:ascii="Arial" w:eastAsia="Times New Roman" w:hAnsi="Arial" w:cs="Arial"/>
                <w:color w:val="000000"/>
                <w:sz w:val="16"/>
                <w:szCs w:val="16"/>
              </w:rPr>
              <w:br/>
              <w:t>- Hội đồng Dân tộc và các Ủy ban của Quốc hội;</w:t>
            </w:r>
            <w:r w:rsidRPr="00FA7F04">
              <w:rPr>
                <w:rFonts w:ascii="Arial" w:eastAsia="Times New Roman" w:hAnsi="Arial" w:cs="Arial"/>
                <w:color w:val="000000"/>
                <w:sz w:val="16"/>
                <w:szCs w:val="16"/>
              </w:rPr>
              <w:br/>
              <w:t>- Văn phòng Quốc hội;</w:t>
            </w:r>
            <w:r w:rsidRPr="00FA7F04">
              <w:rPr>
                <w:rFonts w:ascii="Arial" w:eastAsia="Times New Roman" w:hAnsi="Arial" w:cs="Arial"/>
                <w:color w:val="000000"/>
                <w:sz w:val="16"/>
                <w:szCs w:val="16"/>
              </w:rPr>
              <w:br/>
              <w:t>- Tòa án nhân dân tối cao;</w:t>
            </w:r>
            <w:r w:rsidRPr="00FA7F04">
              <w:rPr>
                <w:rFonts w:ascii="Arial" w:eastAsia="Times New Roman" w:hAnsi="Arial" w:cs="Arial"/>
                <w:color w:val="000000"/>
                <w:sz w:val="16"/>
                <w:szCs w:val="16"/>
              </w:rPr>
              <w:br/>
              <w:t>- Viện Kiểm sát nhân dân tối cao;</w:t>
            </w:r>
            <w:r w:rsidRPr="00FA7F04">
              <w:rPr>
                <w:rFonts w:ascii="Arial" w:eastAsia="Times New Roman" w:hAnsi="Arial" w:cs="Arial"/>
                <w:color w:val="000000"/>
                <w:sz w:val="16"/>
                <w:szCs w:val="16"/>
              </w:rPr>
              <w:br/>
              <w:t>- Kiểm toán Nhà nước;</w:t>
            </w:r>
            <w:r w:rsidRPr="00FA7F04">
              <w:rPr>
                <w:rFonts w:ascii="Arial" w:eastAsia="Times New Roman" w:hAnsi="Arial" w:cs="Arial"/>
                <w:color w:val="000000"/>
                <w:sz w:val="16"/>
                <w:szCs w:val="16"/>
              </w:rPr>
              <w:br/>
              <w:t>- Ủy ban Giám sát tài chính Quốc gia;</w:t>
            </w:r>
            <w:r w:rsidRPr="00FA7F04">
              <w:rPr>
                <w:rFonts w:ascii="Arial" w:eastAsia="Times New Roman" w:hAnsi="Arial" w:cs="Arial"/>
                <w:color w:val="000000"/>
                <w:sz w:val="16"/>
                <w:szCs w:val="16"/>
              </w:rPr>
              <w:br/>
              <w:t>- Ngân hàng Chính sách xã hội;</w:t>
            </w:r>
            <w:r w:rsidRPr="00FA7F04">
              <w:rPr>
                <w:rFonts w:ascii="Arial" w:eastAsia="Times New Roman" w:hAnsi="Arial" w:cs="Arial"/>
                <w:color w:val="000000"/>
                <w:sz w:val="16"/>
                <w:szCs w:val="16"/>
              </w:rPr>
              <w:br/>
              <w:t>- Ngân hàng Phát triển Việt Nam;</w:t>
            </w:r>
            <w:r w:rsidRPr="00FA7F04">
              <w:rPr>
                <w:rFonts w:ascii="Arial" w:eastAsia="Times New Roman" w:hAnsi="Arial" w:cs="Arial"/>
                <w:color w:val="000000"/>
                <w:sz w:val="16"/>
                <w:szCs w:val="16"/>
              </w:rPr>
              <w:br/>
              <w:t>- Ủy ban Trung ương Mặt trận Tổ quốc Việt Nam;</w:t>
            </w:r>
            <w:r w:rsidRPr="00FA7F04">
              <w:rPr>
                <w:rFonts w:ascii="Arial" w:eastAsia="Times New Roman" w:hAnsi="Arial" w:cs="Arial"/>
                <w:color w:val="000000"/>
                <w:sz w:val="16"/>
                <w:szCs w:val="16"/>
              </w:rPr>
              <w:br/>
              <w:t>- Cơ quan Trung ương của các đoàn thể;</w:t>
            </w:r>
            <w:r w:rsidRPr="00FA7F04">
              <w:rPr>
                <w:rFonts w:ascii="Arial" w:eastAsia="Times New Roman" w:hAnsi="Arial" w:cs="Arial"/>
                <w:color w:val="000000"/>
                <w:sz w:val="16"/>
                <w:szCs w:val="16"/>
              </w:rPr>
              <w:br/>
              <w:t>- VPCP: BTCN, các PCN, Trợ lý TTg, TGĐ Cổng TTĐT, các Vụ, Cục, đơn vị trực thuộc, Công báo;</w:t>
            </w:r>
            <w:r w:rsidRPr="00FA7F04">
              <w:rPr>
                <w:rFonts w:ascii="Arial" w:eastAsia="Times New Roman" w:hAnsi="Arial" w:cs="Arial"/>
                <w:color w:val="000000"/>
                <w:sz w:val="16"/>
                <w:szCs w:val="16"/>
              </w:rPr>
              <w:br/>
              <w:t>- Lưu: Văn thư, KTTH (3b).</w:t>
            </w:r>
          </w:p>
        </w:tc>
        <w:tc>
          <w:tcPr>
            <w:tcW w:w="4073" w:type="dxa"/>
            <w:shd w:val="clear" w:color="auto" w:fill="FFFFFF"/>
            <w:tcMar>
              <w:top w:w="0" w:type="dxa"/>
              <w:left w:w="108" w:type="dxa"/>
              <w:bottom w:w="0" w:type="dxa"/>
              <w:right w:w="108" w:type="dxa"/>
            </w:tcMar>
            <w:hideMark/>
          </w:tcPr>
          <w:p w:rsidR="00FA7F04" w:rsidRPr="00FA7F04" w:rsidRDefault="00FA7F04" w:rsidP="00FA7F04">
            <w:pPr>
              <w:spacing w:before="120" w:after="0" w:line="234" w:lineRule="atLeast"/>
              <w:jc w:val="center"/>
              <w:rPr>
                <w:rFonts w:ascii="Arial" w:eastAsia="Times New Roman" w:hAnsi="Arial" w:cs="Arial"/>
                <w:color w:val="000000"/>
                <w:sz w:val="18"/>
                <w:szCs w:val="18"/>
              </w:rPr>
            </w:pPr>
            <w:r w:rsidRPr="00FA7F04">
              <w:rPr>
                <w:rFonts w:ascii="Arial" w:eastAsia="Times New Roman" w:hAnsi="Arial" w:cs="Arial"/>
                <w:b/>
                <w:bCs/>
                <w:color w:val="000000"/>
                <w:sz w:val="18"/>
                <w:szCs w:val="18"/>
              </w:rPr>
              <w:t>TM. CHÍNH PHỦ</w:t>
            </w:r>
            <w:r w:rsidRPr="00FA7F04">
              <w:rPr>
                <w:rFonts w:ascii="Arial" w:eastAsia="Times New Roman" w:hAnsi="Arial" w:cs="Arial"/>
                <w:b/>
                <w:bCs/>
                <w:color w:val="000000"/>
                <w:sz w:val="18"/>
                <w:szCs w:val="18"/>
              </w:rPr>
              <w:br/>
              <w:t>THỦ TƯỚNG</w:t>
            </w:r>
            <w:r w:rsidRPr="00FA7F04">
              <w:rPr>
                <w:rFonts w:ascii="Arial" w:eastAsia="Times New Roman" w:hAnsi="Arial" w:cs="Arial"/>
                <w:b/>
                <w:bCs/>
                <w:color w:val="000000"/>
                <w:sz w:val="18"/>
                <w:szCs w:val="18"/>
              </w:rPr>
              <w:br/>
            </w:r>
            <w:r w:rsidRPr="00FA7F04">
              <w:rPr>
                <w:rFonts w:ascii="Arial" w:eastAsia="Times New Roman" w:hAnsi="Arial" w:cs="Arial"/>
                <w:b/>
                <w:bCs/>
                <w:color w:val="000000"/>
                <w:sz w:val="18"/>
                <w:szCs w:val="18"/>
              </w:rPr>
              <w:br/>
            </w:r>
            <w:r w:rsidRPr="00FA7F04">
              <w:rPr>
                <w:rFonts w:ascii="Arial" w:eastAsia="Times New Roman" w:hAnsi="Arial" w:cs="Arial"/>
                <w:b/>
                <w:bCs/>
                <w:color w:val="000000"/>
                <w:sz w:val="18"/>
                <w:szCs w:val="18"/>
              </w:rPr>
              <w:br/>
            </w:r>
            <w:r w:rsidRPr="00FA7F04">
              <w:rPr>
                <w:rFonts w:ascii="Arial" w:eastAsia="Times New Roman" w:hAnsi="Arial" w:cs="Arial"/>
                <w:b/>
                <w:bCs/>
                <w:color w:val="000000"/>
                <w:sz w:val="18"/>
                <w:szCs w:val="18"/>
              </w:rPr>
              <w:br/>
            </w:r>
            <w:r w:rsidRPr="00FA7F04">
              <w:rPr>
                <w:rFonts w:ascii="Arial" w:eastAsia="Times New Roman" w:hAnsi="Arial" w:cs="Arial"/>
                <w:b/>
                <w:bCs/>
                <w:color w:val="000000"/>
                <w:sz w:val="18"/>
                <w:szCs w:val="18"/>
              </w:rPr>
              <w:br/>
              <w:t>Nguyễn Tấn Dũng</w:t>
            </w:r>
          </w:p>
        </w:tc>
      </w:tr>
    </w:tbl>
    <w:p w:rsidR="00FA7F04" w:rsidRPr="00FA7F04" w:rsidRDefault="00FA7F04" w:rsidP="00FA7F04">
      <w:pPr>
        <w:shd w:val="clear" w:color="auto" w:fill="FFFFFF"/>
        <w:spacing w:before="120" w:after="0" w:line="234" w:lineRule="atLeast"/>
        <w:rPr>
          <w:rFonts w:ascii="Arial" w:eastAsia="Times New Roman" w:hAnsi="Arial" w:cs="Arial"/>
          <w:color w:val="000000"/>
          <w:sz w:val="18"/>
          <w:szCs w:val="18"/>
        </w:rPr>
      </w:pPr>
      <w:r w:rsidRPr="00FA7F04">
        <w:rPr>
          <w:rFonts w:ascii="Arial" w:eastAsia="Times New Roman" w:hAnsi="Arial" w:cs="Arial"/>
          <w:color w:val="000000"/>
          <w:sz w:val="18"/>
          <w:szCs w:val="18"/>
          <w:lang w:val="vi-VN"/>
        </w:rPr>
        <w:t> </w:t>
      </w:r>
    </w:p>
    <w:p w:rsidR="00A334DE" w:rsidRDefault="00A334DE"/>
    <w:sectPr w:rsidR="00A334DE" w:rsidSect="00FA7F04">
      <w:pgSz w:w="11907" w:h="16840" w:code="9"/>
      <w:pgMar w:top="851" w:right="708" w:bottom="567" w:left="1418" w:header="284" w:footer="284"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FA7F04"/>
    <w:rsid w:val="00551AC7"/>
    <w:rsid w:val="00A334DE"/>
    <w:rsid w:val="00A96F74"/>
    <w:rsid w:val="00C11283"/>
    <w:rsid w:val="00DF4C8C"/>
    <w:rsid w:val="00FA7F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A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A7F0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A7F04"/>
    <w:rPr>
      <w:color w:val="0000FF"/>
      <w:u w:val="single"/>
    </w:rPr>
  </w:style>
  <w:style w:type="character" w:customStyle="1" w:styleId="apple-converted-space">
    <w:name w:val="apple-converted-space"/>
    <w:basedOn w:val="DefaultParagraphFont"/>
    <w:rsid w:val="00FA7F04"/>
  </w:style>
</w:styles>
</file>

<file path=word/webSettings.xml><?xml version="1.0" encoding="utf-8"?>
<w:webSettings xmlns:r="http://schemas.openxmlformats.org/officeDocument/2006/relationships" xmlns:w="http://schemas.openxmlformats.org/wordprocessingml/2006/main">
  <w:divs>
    <w:div w:id="130511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phap-luat/tim-van-ban.aspx?keyword=115/2005/N%C4%90-CP&amp;match=False&amp;area=2&amp;lan=1&amp;vc=True" TargetMode="External"/><Relationship Id="rId3" Type="http://schemas.openxmlformats.org/officeDocument/2006/relationships/webSettings" Target="webSettings.xml"/><Relationship Id="rId7" Type="http://schemas.openxmlformats.org/officeDocument/2006/relationships/hyperlink" Target="http://thuvienphapluat.vn/phap-luat/tim-van-ban.aspx?keyword=96/2010/N%C4%90-CP&amp;match=False&amp;area=2&amp;lan=1&amp;bdate=20/9/2010&amp;edate=20/9/2010&amp;vc=Tru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huvienphapluat.vn/phap-luat/tim-van-ban.aspx?keyword=115/2005/N%C4%90-CP&amp;match=False&amp;area=2&amp;lan=1&amp;bdate=05/9/2005&amp;edate=05/9/2005&amp;vc=True" TargetMode="External"/><Relationship Id="rId11" Type="http://schemas.openxmlformats.org/officeDocument/2006/relationships/theme" Target="theme/theme1.xml"/><Relationship Id="rId5" Type="http://schemas.openxmlformats.org/officeDocument/2006/relationships/hyperlink" Target="http://thuvienphapluat.vn/phap-luat/tim-van-ban.aspx?keyword=43/2006/N%C4%90-CP&amp;match=False&amp;area=2&amp;lan=1&amp;bdate=25/4/2006&amp;edate=25/4/2006&amp;vc=True" TargetMode="External"/><Relationship Id="rId10" Type="http://schemas.openxmlformats.org/officeDocument/2006/relationships/fontTable" Target="fontTable.xml"/><Relationship Id="rId4" Type="http://schemas.openxmlformats.org/officeDocument/2006/relationships/hyperlink" Target="http://thuvienphapluat.vn/phap-luat/tim-van-ban.aspx?keyword=43/2006/N%C4%90-CP&amp;match=False&amp;area=2&amp;lan=1&amp;bdate=25/4/2006&amp;edate=25/4/2006&amp;vc=True" TargetMode="External"/><Relationship Id="rId9" Type="http://schemas.openxmlformats.org/officeDocument/2006/relationships/hyperlink" Target="http://thuvienphapluat.vn/phap-luat/tim-van-ban.aspx?keyword=85/2012/N%C4%90-CP&amp;match=False&amp;area=2&amp;lan=1&amp;bdate=15/10/2012&amp;edate=15/10/2012&amp;vc=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6301</Words>
  <Characters>35918</Characters>
  <Application>Microsoft Office Word</Application>
  <DocSecurity>0</DocSecurity>
  <Lines>299</Lines>
  <Paragraphs>84</Paragraphs>
  <ScaleCrop>false</ScaleCrop>
  <Company>Microsoft</Company>
  <LinksUpToDate>false</LinksUpToDate>
  <CharactersWithSpaces>42135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Win7</cp:lastModifiedBy>
  <cp:revision>2</cp:revision>
  <dcterms:created xsi:type="dcterms:W3CDTF">2016-12-21T01:46:00Z</dcterms:created>
  <dcterms:modified xsi:type="dcterms:W3CDTF">2016-12-21T01:46:00Z</dcterms:modified>
</cp:coreProperties>
</file>